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E0" w:rsidRPr="00657EE0" w:rsidRDefault="00657EE0" w:rsidP="00657EE0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657EE0">
        <w:rPr>
          <w:rFonts w:eastAsia="Times New Roman"/>
          <w:sz w:val="28"/>
          <w:szCs w:val="28"/>
          <w:lang w:eastAsia="uk-UA"/>
        </w:rPr>
        <w:t>Аналіз результатів опитування</w:t>
      </w:r>
    </w:p>
    <w:p w:rsidR="00657EE0" w:rsidRPr="00657EE0" w:rsidRDefault="00657EE0" w:rsidP="00657EE0">
      <w:pPr>
        <w:pStyle w:val="4"/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657EE0">
        <w:rPr>
          <w:rFonts w:eastAsia="Times New Roman"/>
          <w:b/>
          <w:bCs/>
          <w:sz w:val="28"/>
          <w:szCs w:val="28"/>
          <w:lang w:eastAsia="uk-UA"/>
        </w:rPr>
        <w:t>«</w:t>
      </w:r>
      <w:bookmarkStart w:id="0" w:name="_GoBack"/>
      <w:r w:rsidRPr="00657EE0">
        <w:rPr>
          <w:rFonts w:eastAsia="Times New Roman"/>
          <w:b/>
          <w:bCs/>
          <w:sz w:val="28"/>
          <w:szCs w:val="28"/>
          <w:lang w:eastAsia="uk-UA"/>
        </w:rPr>
        <w:t>Стосовно системи запобігання плагіату 2025-2026</w:t>
      </w:r>
      <w:bookmarkEnd w:id="0"/>
      <w:r w:rsidRPr="00657EE0">
        <w:rPr>
          <w:rFonts w:eastAsia="Times New Roman"/>
          <w:b/>
          <w:bCs/>
          <w:sz w:val="28"/>
          <w:szCs w:val="28"/>
          <w:lang w:eastAsia="uk-UA"/>
        </w:rPr>
        <w:t>»</w:t>
      </w:r>
    </w:p>
    <w:p w:rsidR="00657EE0" w:rsidRPr="00657EE0" w:rsidRDefault="00657EE0" w:rsidP="00657EE0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657EE0">
        <w:rPr>
          <w:rFonts w:eastAsia="Times New Roman"/>
          <w:b/>
          <w:bCs/>
          <w:sz w:val="28"/>
          <w:szCs w:val="28"/>
          <w:lang w:eastAsia="uk-UA"/>
        </w:rPr>
        <w:t xml:space="preserve">Інституту </w:t>
      </w:r>
      <w:proofErr w:type="spellStart"/>
      <w:r w:rsidRPr="00657EE0">
        <w:rPr>
          <w:rFonts w:eastAsia="Times New Roman"/>
          <w:b/>
          <w:bCs/>
          <w:sz w:val="28"/>
          <w:szCs w:val="28"/>
          <w:lang w:eastAsia="uk-UA"/>
        </w:rPr>
        <w:t>біомедичних</w:t>
      </w:r>
      <w:proofErr w:type="spellEnd"/>
      <w:r w:rsidRPr="00657EE0">
        <w:rPr>
          <w:rFonts w:eastAsia="Times New Roman"/>
          <w:b/>
          <w:bCs/>
          <w:sz w:val="28"/>
          <w:szCs w:val="28"/>
          <w:lang w:eastAsia="uk-UA"/>
        </w:rPr>
        <w:t xml:space="preserve"> технологій (ІБМТ)</w:t>
      </w:r>
    </w:p>
    <w:p w:rsidR="00657EE0" w:rsidRPr="00657EE0" w:rsidRDefault="00657EE0" w:rsidP="00657E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57EE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Обізнаність із політикою академічної доброчесності</w:t>
      </w:r>
    </w:p>
    <w:p w:rsidR="00657EE0" w:rsidRDefault="00657EE0" w:rsidP="00657E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E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Знання заходів:</w:t>
      </w:r>
      <w:r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Більшість респондентів ІБМТ знайомі із загальними принципами Кодексу академічної доброчесності, процедурою підписання Декларації та знають про діяльність відповідної комісії в університеті.</w:t>
      </w: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EA1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1312" behindDoc="1" locked="0" layoutInCell="1" allowOverlap="1" wp14:anchorId="2AA2FA91" wp14:editId="15FD3421">
            <wp:simplePos x="0" y="0"/>
            <wp:positionH relativeFrom="page">
              <wp:posOffset>899795</wp:posOffset>
            </wp:positionH>
            <wp:positionV relativeFrom="page">
              <wp:posOffset>2574290</wp:posOffset>
            </wp:positionV>
            <wp:extent cx="6120765" cy="23088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Pr="00657EE0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Pr="008B2EA1" w:rsidRDefault="008B2EA1" w:rsidP="008B2E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EA1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3CA35FFA" wp14:editId="62A5D3A8">
            <wp:simplePos x="0" y="0"/>
            <wp:positionH relativeFrom="page">
              <wp:posOffset>1593215</wp:posOffset>
            </wp:positionH>
            <wp:positionV relativeFrom="page">
              <wp:posOffset>5373370</wp:posOffset>
            </wp:positionV>
            <wp:extent cx="4858428" cy="219105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7EE0" w:rsidRPr="00657E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Інструменти:</w:t>
      </w:r>
      <w:r w:rsidR="00657EE0"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Студенти та викладачі підтверджують впровадження дисциплін «Основи наукових досліджень та академічна доброчесність», а також використання спеціалізованого ПЗ для перевірки робіт на плагіат.</w:t>
      </w:r>
      <w:r w:rsidRPr="008B2EA1">
        <w:rPr>
          <w:noProof/>
          <w:lang w:eastAsia="uk-UA"/>
        </w:rPr>
        <w:t xml:space="preserve"> </w:t>
      </w: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7EE0" w:rsidRPr="00657EE0" w:rsidRDefault="00657EE0" w:rsidP="00657E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57EE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Практика перевірки робіт</w:t>
      </w:r>
    </w:p>
    <w:p w:rsidR="00657EE0" w:rsidRPr="00657EE0" w:rsidRDefault="00657EE0" w:rsidP="00657E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E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Використання ПЗ:</w:t>
      </w:r>
      <w:r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Студенти переважно мають досвід перевірки власних робіт на плагіат (курсових, магістерських).</w:t>
      </w:r>
    </w:p>
    <w:p w:rsidR="00657EE0" w:rsidRDefault="008B2EA1" w:rsidP="00657E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EA1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3360" behindDoc="1" locked="0" layoutInCell="1" allowOverlap="1" wp14:anchorId="2809F99E" wp14:editId="21B9DC78">
            <wp:simplePos x="0" y="0"/>
            <wp:positionH relativeFrom="page">
              <wp:posOffset>2506980</wp:posOffset>
            </wp:positionH>
            <wp:positionV relativeFrom="page">
              <wp:posOffset>8317230</wp:posOffset>
            </wp:positionV>
            <wp:extent cx="3221354" cy="1896759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1354" cy="1896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EE0" w:rsidRPr="00657E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Ставлення до перевірок:</w:t>
      </w:r>
      <w:r w:rsidR="00657EE0"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Респонденти вважають системні перевірки на плагіат доцільними та необхідними для забезпечення якості освіти.</w:t>
      </w: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Pr="00657EE0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7EE0" w:rsidRPr="00657EE0" w:rsidRDefault="00657EE0" w:rsidP="00657E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57EE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3. Розуміння плагіату та джерела запозичень</w:t>
      </w:r>
    </w:p>
    <w:p w:rsidR="00657EE0" w:rsidRDefault="00657EE0" w:rsidP="00657E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E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Типові прояви:</w:t>
      </w:r>
      <w:r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Найбільш поширеними формами плагіату студенти вважають копіювання текстів зі зміною порядку слів (парафраз без посилання), використання штучного інтелекту без вказівки авторства та завантаження робіт із сайтів рефератів.</w:t>
      </w: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EA1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5408" behindDoc="1" locked="0" layoutInCell="1" allowOverlap="1" wp14:anchorId="071F3672" wp14:editId="5599252E">
            <wp:simplePos x="0" y="0"/>
            <wp:positionH relativeFrom="page">
              <wp:posOffset>899795</wp:posOffset>
            </wp:positionH>
            <wp:positionV relativeFrom="page">
              <wp:posOffset>1617980</wp:posOffset>
            </wp:positionV>
            <wp:extent cx="6120765" cy="13608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7EE0" w:rsidRDefault="00657EE0" w:rsidP="00657E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E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Джерела:</w:t>
      </w:r>
      <w:r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Основними ресурсами для написання робіт виступають Інтернет, наукові роботи іноземною мовою та інструменти ШІ.</w:t>
      </w: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EA1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7456" behindDoc="1" locked="0" layoutInCell="1" allowOverlap="1" wp14:anchorId="72F6D749" wp14:editId="767A2CB0">
            <wp:simplePos x="0" y="0"/>
            <wp:positionH relativeFrom="page">
              <wp:posOffset>899795</wp:posOffset>
            </wp:positionH>
            <wp:positionV relativeFrom="page">
              <wp:posOffset>3558540</wp:posOffset>
            </wp:positionV>
            <wp:extent cx="6120765" cy="213804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Pr="00657EE0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657E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8B2EA1" w:rsidRDefault="008B2EA1" w:rsidP="00657E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57EE0" w:rsidRPr="00657EE0" w:rsidRDefault="00657EE0" w:rsidP="00657E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57EE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Причини виникнення плагіату</w:t>
      </w:r>
    </w:p>
    <w:p w:rsidR="00657EE0" w:rsidRPr="00657EE0" w:rsidRDefault="00657EE0" w:rsidP="00657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 основних чинників респонденти ІБМТ виділяють:</w:t>
      </w:r>
    </w:p>
    <w:p w:rsidR="00657EE0" w:rsidRPr="00657EE0" w:rsidRDefault="00657EE0" w:rsidP="00657E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>Лінь та брак креативності.</w:t>
      </w:r>
    </w:p>
    <w:p w:rsidR="00657EE0" w:rsidRPr="00657EE0" w:rsidRDefault="00657EE0" w:rsidP="00657E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Необхідність виконання великого обсягу письмових робіт протягом семестру.</w:t>
      </w:r>
    </w:p>
    <w:p w:rsidR="00657EE0" w:rsidRPr="00657EE0" w:rsidRDefault="00657EE0" w:rsidP="00657E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Брак совісті та ігнорування морально-етичних норм («припустимість вкрасти»).</w:t>
      </w:r>
    </w:p>
    <w:p w:rsidR="00657EE0" w:rsidRPr="00657EE0" w:rsidRDefault="00657EE0" w:rsidP="00657E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 практичного застосування результатів деяких робіт.</w:t>
      </w:r>
    </w:p>
    <w:p w:rsidR="00657EE0" w:rsidRPr="00657EE0" w:rsidRDefault="00657EE0" w:rsidP="00657E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57EE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Погляди на санкції та відповідальність</w:t>
      </w:r>
    </w:p>
    <w:p w:rsidR="00657EE0" w:rsidRDefault="008B2EA1" w:rsidP="00657E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EA1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9504" behindDoc="1" locked="0" layoutInCell="1" allowOverlap="1" wp14:anchorId="0A2B86DE" wp14:editId="42E1B6FC">
            <wp:simplePos x="0" y="0"/>
            <wp:positionH relativeFrom="page">
              <wp:posOffset>1577340</wp:posOffset>
            </wp:positionH>
            <wp:positionV relativeFrom="page">
              <wp:posOffset>8282940</wp:posOffset>
            </wp:positionV>
            <wp:extent cx="5495925" cy="193175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7597" cy="1939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EE0" w:rsidRPr="00657E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студентів:</w:t>
      </w:r>
      <w:r w:rsidR="00657EE0"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Справедливими заходами вважають профілактичну бесіду, зниження оцінки, передачу роботи на доопрацювання або недопущення до захисту в разі серйозних порушень.</w:t>
      </w: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Pr="00657EE0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7EE0" w:rsidRDefault="008B2EA1" w:rsidP="00657E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EA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drawing>
          <wp:anchor distT="0" distB="0" distL="114300" distR="114300" simplePos="0" relativeHeight="251671552" behindDoc="1" locked="0" layoutInCell="1" allowOverlap="1" wp14:anchorId="4F520E15" wp14:editId="19F31193">
            <wp:simplePos x="0" y="0"/>
            <wp:positionH relativeFrom="page">
              <wp:posOffset>1958340</wp:posOffset>
            </wp:positionH>
            <wp:positionV relativeFrom="page">
              <wp:posOffset>1104900</wp:posOffset>
            </wp:positionV>
            <wp:extent cx="4852036" cy="1794030"/>
            <wp:effectExtent l="0" t="0" r="571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6300" cy="180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EE0" w:rsidRPr="00657EE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викладачів/науковців:</w:t>
      </w:r>
      <w:r w:rsidR="00657EE0"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Респонденти підтримують оголошення догани та позбавлення наукових ступенів у разі доведення плагіату в дисертаціях чи монографіях.</w:t>
      </w: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2EA1" w:rsidRPr="00657EE0" w:rsidRDefault="008B2EA1" w:rsidP="008B2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7EE0" w:rsidRPr="00657EE0" w:rsidRDefault="00657EE0" w:rsidP="00657E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57EE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Висновки для ІБМТ</w:t>
      </w:r>
    </w:p>
    <w:p w:rsidR="00657EE0" w:rsidRPr="00657EE0" w:rsidRDefault="00657EE0" w:rsidP="00657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Здобувачі освіти </w:t>
      </w:r>
      <w:r w:rsidR="008B2E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ІБМТ </w:t>
      </w:r>
      <w:r w:rsidRPr="00657EE0">
        <w:rPr>
          <w:rFonts w:ascii="Times New Roman" w:eastAsia="Times New Roman" w:hAnsi="Times New Roman" w:cs="Times New Roman"/>
          <w:sz w:val="24"/>
          <w:szCs w:val="24"/>
          <w:lang w:eastAsia="uk-UA"/>
        </w:rPr>
        <w:t>демонструють високий рівень розуміння етичних аспектів наукової роботи. Вони підтримують автоматизовану перевірку робіт, але вказують на технічні складнощі та велике навантаження як на фактори, що можуть спонукати до порушень доброчесності.</w:t>
      </w:r>
    </w:p>
    <w:p w:rsidR="00593D8D" w:rsidRDefault="00593D8D"/>
    <w:sectPr w:rsidR="00593D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6421"/>
    <w:multiLevelType w:val="multilevel"/>
    <w:tmpl w:val="036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6416D"/>
    <w:multiLevelType w:val="multilevel"/>
    <w:tmpl w:val="82EC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00C4"/>
    <w:multiLevelType w:val="multilevel"/>
    <w:tmpl w:val="017E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F21CA"/>
    <w:multiLevelType w:val="multilevel"/>
    <w:tmpl w:val="D56A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F4797"/>
    <w:multiLevelType w:val="multilevel"/>
    <w:tmpl w:val="688E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45"/>
    <w:rsid w:val="00111133"/>
    <w:rsid w:val="00593D8D"/>
    <w:rsid w:val="00657EE0"/>
    <w:rsid w:val="007D3945"/>
    <w:rsid w:val="008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32AF"/>
  <w15:chartTrackingRefBased/>
  <w15:docId w15:val="{2E03C68E-2ECA-4811-ACCF-EE5E589E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7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657E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7EE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5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496">
    <w:name w:val="citation-496"/>
    <w:basedOn w:val="a0"/>
    <w:rsid w:val="00657EE0"/>
  </w:style>
  <w:style w:type="character" w:customStyle="1" w:styleId="citation-495">
    <w:name w:val="citation-495"/>
    <w:basedOn w:val="a0"/>
    <w:rsid w:val="00657EE0"/>
  </w:style>
  <w:style w:type="character" w:customStyle="1" w:styleId="citation-494">
    <w:name w:val="citation-494"/>
    <w:basedOn w:val="a0"/>
    <w:rsid w:val="00657EE0"/>
  </w:style>
  <w:style w:type="character" w:customStyle="1" w:styleId="citation-493">
    <w:name w:val="citation-493"/>
    <w:basedOn w:val="a0"/>
    <w:rsid w:val="00657EE0"/>
  </w:style>
  <w:style w:type="character" w:customStyle="1" w:styleId="citation-492">
    <w:name w:val="citation-492"/>
    <w:basedOn w:val="a0"/>
    <w:rsid w:val="00657EE0"/>
  </w:style>
  <w:style w:type="character" w:customStyle="1" w:styleId="citation-491">
    <w:name w:val="citation-491"/>
    <w:basedOn w:val="a0"/>
    <w:rsid w:val="00657EE0"/>
  </w:style>
  <w:style w:type="character" w:customStyle="1" w:styleId="citation-490">
    <w:name w:val="citation-490"/>
    <w:basedOn w:val="a0"/>
    <w:rsid w:val="00657EE0"/>
  </w:style>
  <w:style w:type="character" w:customStyle="1" w:styleId="citation-489">
    <w:name w:val="citation-489"/>
    <w:basedOn w:val="a0"/>
    <w:rsid w:val="00657EE0"/>
  </w:style>
  <w:style w:type="character" w:customStyle="1" w:styleId="citation-488">
    <w:name w:val="citation-488"/>
    <w:basedOn w:val="a0"/>
    <w:rsid w:val="00657EE0"/>
  </w:style>
  <w:style w:type="character" w:customStyle="1" w:styleId="citation-487">
    <w:name w:val="citation-487"/>
    <w:basedOn w:val="a0"/>
    <w:rsid w:val="00657EE0"/>
  </w:style>
  <w:style w:type="character" w:customStyle="1" w:styleId="citation-486">
    <w:name w:val="citation-486"/>
    <w:basedOn w:val="a0"/>
    <w:rsid w:val="00657EE0"/>
  </w:style>
  <w:style w:type="character" w:customStyle="1" w:styleId="citation-485">
    <w:name w:val="citation-485"/>
    <w:basedOn w:val="a0"/>
    <w:rsid w:val="00657EE0"/>
  </w:style>
  <w:style w:type="character" w:customStyle="1" w:styleId="citation-484">
    <w:name w:val="citation-484"/>
    <w:basedOn w:val="a0"/>
    <w:rsid w:val="00657EE0"/>
  </w:style>
  <w:style w:type="character" w:customStyle="1" w:styleId="40">
    <w:name w:val="Заголовок 4 Знак"/>
    <w:basedOn w:val="a0"/>
    <w:link w:val="4"/>
    <w:uiPriority w:val="9"/>
    <w:rsid w:val="00657E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1451</Words>
  <Characters>828</Characters>
  <Application>Microsoft Office Word</Application>
  <DocSecurity>0</DocSecurity>
  <Lines>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2026-02-24T13:42:00Z</dcterms:created>
  <dcterms:modified xsi:type="dcterms:W3CDTF">2026-02-24T13:53:00Z</dcterms:modified>
</cp:coreProperties>
</file>