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83" w:rsidRDefault="00D33A83" w:rsidP="00D33A83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РЕФЕРАТ</w:t>
      </w:r>
    </w:p>
    <w:p w:rsidR="00D33A83" w:rsidRDefault="00D33A83" w:rsidP="00D33A83">
      <w:p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</w:p>
    <w:p w:rsidR="00D33A83" w:rsidRDefault="00D33A83" w:rsidP="00D33A83">
      <w:pPr>
        <w:spacing w:after="0" w:line="360" w:lineRule="auto"/>
        <w:ind w:firstLine="708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Поряд зі змінами кількісних характеристик </w:t>
      </w:r>
      <w:proofErr w:type="spellStart"/>
      <w:r>
        <w:rPr>
          <w:rFonts w:ascii="Times New Roman" w:hAnsi="Times New Roman"/>
          <w:spacing w:val="12"/>
          <w:sz w:val="28"/>
          <w:szCs w:val="28"/>
          <w:lang w:val="uk-UA"/>
        </w:rPr>
        <w:t>імунокомпетентних</w:t>
      </w:r>
      <w:proofErr w:type="spellEnd"/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клітин дуже важливий і їх функціональний стан. Як відомо, при багатьох хронічних захворюваннях відбувається зміна рівня </w:t>
      </w:r>
      <w:proofErr w:type="spellStart"/>
      <w:r>
        <w:rPr>
          <w:rFonts w:ascii="Times New Roman" w:hAnsi="Times New Roman"/>
          <w:spacing w:val="12"/>
          <w:sz w:val="28"/>
          <w:szCs w:val="28"/>
          <w:lang w:val="uk-UA"/>
        </w:rPr>
        <w:t>лімфопроліферації</w:t>
      </w:r>
      <w:proofErr w:type="spellEnd"/>
      <w:r>
        <w:rPr>
          <w:rFonts w:ascii="Times New Roman" w:hAnsi="Times New Roman"/>
          <w:spacing w:val="1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12"/>
          <w:sz w:val="28"/>
          <w:szCs w:val="28"/>
          <w:lang w:val="uk-UA"/>
        </w:rPr>
        <w:tab/>
        <w:t xml:space="preserve">За допомогою </w:t>
      </w:r>
      <w:proofErr w:type="spellStart"/>
      <w:r>
        <w:rPr>
          <w:rFonts w:ascii="Times New Roman" w:hAnsi="Times New Roman"/>
          <w:spacing w:val="12"/>
          <w:sz w:val="28"/>
          <w:szCs w:val="28"/>
          <w:lang w:val="uk-UA"/>
        </w:rPr>
        <w:t>бластної</w:t>
      </w:r>
      <w:proofErr w:type="spellEnd"/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трансформації лімфоцитів </w:t>
      </w:r>
      <w:proofErr w:type="spellStart"/>
      <w:r>
        <w:rPr>
          <w:rFonts w:ascii="Times New Roman" w:hAnsi="Times New Roman"/>
          <w:iCs/>
          <w:spacing w:val="12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/>
          <w:iCs/>
          <w:spacing w:val="1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pacing w:val="12"/>
          <w:sz w:val="28"/>
          <w:szCs w:val="28"/>
          <w:lang w:val="uk-UA"/>
        </w:rPr>
        <w:t>vitro</w:t>
      </w:r>
      <w:proofErr w:type="spellEnd"/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можна визначити ступінь активності патологічного процесу, прогнозувати перебіг захворювання, контролювати ефективність проведеного лікування.  </w:t>
      </w:r>
    </w:p>
    <w:p w:rsidR="00D33A83" w:rsidRDefault="00D33A83" w:rsidP="00D33A83">
      <w:pPr>
        <w:spacing w:after="0" w:line="360" w:lineRule="auto"/>
        <w:ind w:firstLine="708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Вивчення експресії активаційних маркерів </w:t>
      </w:r>
      <w:r>
        <w:rPr>
          <w:rFonts w:ascii="Times New Roman" w:hAnsi="Times New Roman"/>
          <w:spacing w:val="12"/>
          <w:sz w:val="28"/>
          <w:szCs w:val="28"/>
          <w:lang w:val="en-US"/>
        </w:rPr>
        <w:t>CD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25</w:t>
      </w:r>
      <w:r>
        <w:rPr>
          <w:rFonts w:ascii="Times New Roman" w:hAnsi="Times New Roman"/>
          <w:spacing w:val="12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pacing w:val="12"/>
          <w:sz w:val="28"/>
          <w:szCs w:val="28"/>
          <w:lang w:val="en-US"/>
        </w:rPr>
        <w:t>CD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95</w:t>
      </w:r>
      <w:r>
        <w:rPr>
          <w:rFonts w:ascii="Times New Roman" w:hAnsi="Times New Roman"/>
          <w:spacing w:val="12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12"/>
          <w:sz w:val="28"/>
          <w:szCs w:val="28"/>
          <w:lang w:val="en-US"/>
        </w:rPr>
        <w:t>HLA</w:t>
      </w:r>
      <w:r>
        <w:rPr>
          <w:rFonts w:ascii="Times New Roman" w:hAnsi="Times New Roman"/>
          <w:spacing w:val="12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2"/>
          <w:sz w:val="28"/>
          <w:szCs w:val="28"/>
          <w:lang w:val="en-US"/>
        </w:rPr>
        <w:t>DR</w:t>
      </w:r>
      <w:r>
        <w:rPr>
          <w:rFonts w:ascii="Times New Roman" w:hAnsi="Times New Roman"/>
          <w:spacing w:val="12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на лімфоцитах периферичної крові у хворих на інфекційний ендокардит дозволяє проводити безперервний моніторинг стану імунної системи пацієнта, проводити імунологічну обґрунтовану терапію, прогнозувати протікання захворювання  </w:t>
      </w:r>
    </w:p>
    <w:p w:rsidR="00D33A83" w:rsidRDefault="00D33A83" w:rsidP="00D33A83">
      <w:pPr>
        <w:spacing w:after="0" w:line="360" w:lineRule="auto"/>
        <w:ind w:firstLine="708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>Всі ці фактори зумовлюють актуальність пошуку сукупності лікувальних заходів, спрямованих на всі патогенетичні ланки розвитку інфекційного процесу у кардіохірургічних хворих на інфекційний ендокардит. Одним із перспективних напрямків є розробка методу стимуляції захисних сил організму хворих на ІЕ за рахунок безпосередньої дії підвищеної температури.</w:t>
      </w:r>
    </w:p>
    <w:p w:rsidR="00D33A83" w:rsidRDefault="00D33A83" w:rsidP="00D33A83">
      <w:pPr>
        <w:spacing w:after="0" w:line="360" w:lineRule="auto"/>
        <w:ind w:firstLine="708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>Матеріалом для дослідження служила венозна кров хворих на інфекційний ендокардит та практично здорових осіб донорів крові. В роботі використані імунологічні методи дослідження.</w:t>
      </w:r>
    </w:p>
    <w:p w:rsidR="00D33A83" w:rsidRDefault="00D33A83" w:rsidP="00D33A83">
      <w:pPr>
        <w:spacing w:after="0" w:line="360" w:lineRule="auto"/>
        <w:ind w:firstLine="708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>Дипломна робота викладена на 58 сторінках, ілюстрована 2 таблицями, список використаної  літератури містить  67 літературних  джерел.</w:t>
      </w:r>
    </w:p>
    <w:p w:rsidR="00D33A83" w:rsidRDefault="00D33A83" w:rsidP="00D33A83">
      <w:p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  <w:lang w:val="uk-UA"/>
        </w:rPr>
      </w:pPr>
    </w:p>
    <w:p w:rsidR="00D33A83" w:rsidRDefault="00D33A83" w:rsidP="00D33A83">
      <w:pPr>
        <w:spacing w:after="0" w:line="360" w:lineRule="auto"/>
        <w:ind w:firstLine="539"/>
        <w:jc w:val="both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</w:p>
    <w:p w:rsidR="00B31A5D" w:rsidRPr="00D33A83" w:rsidRDefault="00B31A5D">
      <w:pPr>
        <w:rPr>
          <w:lang w:val="uk-UA"/>
        </w:rPr>
      </w:pPr>
    </w:p>
    <w:sectPr w:rsidR="00B31A5D" w:rsidRPr="00D3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DF"/>
    <w:rsid w:val="00887637"/>
    <w:rsid w:val="00B31A5D"/>
    <w:rsid w:val="00D33A83"/>
    <w:rsid w:val="00D66769"/>
    <w:rsid w:val="00D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6955-5FD8-474A-8C2C-2847CA8D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2020-10-22T07:33:00Z</dcterms:created>
  <dcterms:modified xsi:type="dcterms:W3CDTF">2020-10-22T07:34:00Z</dcterms:modified>
</cp:coreProperties>
</file>