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5E" w:rsidRDefault="00F97D5E" w:rsidP="00F97D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F97D5E" w:rsidRDefault="00F97D5E" w:rsidP="00F97D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F97D5E" w:rsidRDefault="00F97D5E" w:rsidP="00F97D5E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Спеціальність : «Фармація, промислова фармація»</w:t>
      </w:r>
      <w:r w:rsidRPr="002E3A84">
        <w:rPr>
          <w:rFonts w:ascii="Times New Roman" w:hAnsi="Times New Roman"/>
          <w:b/>
          <w:sz w:val="24"/>
          <w:szCs w:val="24"/>
        </w:rPr>
        <w:t xml:space="preserve"> </w:t>
      </w:r>
    </w:p>
    <w:p w:rsidR="00F97D5E" w:rsidRPr="002A1489" w:rsidRDefault="00F97D5E" w:rsidP="00F97D5E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69"/>
      </w:tblGrid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72030"/>
                  <wp:effectExtent l="19050" t="0" r="0" b="0"/>
                  <wp:docPr id="18" name="Рисунок 1" descr="0001 - 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 - 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7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shd w:val="clear" w:color="auto" w:fill="auto"/>
          </w:tcPr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FF7221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3D2F03">
              <w:rPr>
                <w:rFonts w:ascii="Times New Roman" w:hAnsi="Times New Roman"/>
                <w:b/>
                <w:sz w:val="24"/>
                <w:szCs w:val="24"/>
              </w:rPr>
              <w:t>Величко О.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F03">
              <w:rPr>
                <w:rFonts w:ascii="Times New Roman" w:hAnsi="Times New Roman"/>
                <w:sz w:val="24"/>
                <w:szCs w:val="24"/>
              </w:rPr>
              <w:t>Основи стандартизації та сертифікації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М. Величко </w:t>
            </w:r>
            <w:r w:rsidRPr="00FF7221">
              <w:rPr>
                <w:rFonts w:ascii="Times New Roman" w:hAnsi="Times New Roman"/>
                <w:sz w:val="24"/>
                <w:szCs w:val="24"/>
              </w:rPr>
              <w:t xml:space="preserve">[та ін.]. – Херсон : </w:t>
            </w:r>
            <w:proofErr w:type="spellStart"/>
            <w:r w:rsidRPr="00FF7221">
              <w:rPr>
                <w:rFonts w:ascii="Times New Roman" w:hAnsi="Times New Roman"/>
                <w:sz w:val="24"/>
                <w:szCs w:val="24"/>
              </w:rPr>
              <w:t>Олді-плюс</w:t>
            </w:r>
            <w:proofErr w:type="spellEnd"/>
            <w:r w:rsidRPr="00FF7221">
              <w:rPr>
                <w:rFonts w:ascii="Times New Roman" w:hAnsi="Times New Roman"/>
                <w:sz w:val="24"/>
                <w:szCs w:val="24"/>
              </w:rPr>
              <w:t xml:space="preserve">, 2018. – 364 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F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FF7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978-966-2393-82-8.</w:t>
            </w: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Pr="00FF7221" w:rsidRDefault="00F97D5E" w:rsidP="00171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F97D5E" w:rsidRDefault="00F97D5E" w:rsidP="0017129F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Pr="00F74539" w:rsidRDefault="00F97D5E" w:rsidP="0017129F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969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53615"/>
                  <wp:effectExtent l="19050" t="0" r="0" b="0"/>
                  <wp:docPr id="17" name="Рисунок 2" descr="0001 - 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1 - 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shd w:val="clear" w:color="auto" w:fill="auto"/>
          </w:tcPr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E96E3B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B9A">
              <w:rPr>
                <w:rFonts w:ascii="Times New Roman" w:hAnsi="Times New Roman"/>
                <w:b/>
                <w:sz w:val="24"/>
                <w:szCs w:val="24"/>
              </w:rPr>
              <w:t>Васілевський</w:t>
            </w:r>
            <w:proofErr w:type="spellEnd"/>
            <w:r w:rsidRPr="00542B9A">
              <w:rPr>
                <w:rFonts w:ascii="Times New Roman" w:hAnsi="Times New Roman"/>
                <w:b/>
                <w:sz w:val="24"/>
                <w:szCs w:val="24"/>
              </w:rPr>
              <w:t xml:space="preserve"> О.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9A">
              <w:rPr>
                <w:rFonts w:ascii="Times New Roman" w:hAnsi="Times New Roman"/>
                <w:sz w:val="24"/>
                <w:szCs w:val="24"/>
              </w:rPr>
              <w:t xml:space="preserve">Основи теорії невизначеності вимірювань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Васілевський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Херсон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Олді-плюс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2018. – 224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96E3B">
              <w:rPr>
                <w:rFonts w:ascii="Times New Roman" w:hAnsi="Times New Roman"/>
                <w:b/>
                <w:sz w:val="24"/>
                <w:szCs w:val="24"/>
              </w:rPr>
              <w:t xml:space="preserve"> 978-966-641-454-3.</w:t>
            </w: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E96E3B" w:rsidRDefault="00F97D5E" w:rsidP="0017129F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B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969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34565"/>
                  <wp:effectExtent l="19050" t="0" r="0" b="0"/>
                  <wp:docPr id="16" name="Рисунок 2" descr="0007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7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shd w:val="clear" w:color="auto" w:fill="auto"/>
          </w:tcPr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4056A5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A5">
              <w:rPr>
                <w:rFonts w:ascii="Times New Roman" w:hAnsi="Times New Roman"/>
                <w:b/>
                <w:sz w:val="24"/>
                <w:szCs w:val="24"/>
              </w:rPr>
              <w:t>613.2</w:t>
            </w:r>
          </w:p>
          <w:p w:rsidR="00F97D5E" w:rsidRPr="004056A5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369">
              <w:rPr>
                <w:rFonts w:ascii="Times New Roman" w:hAnsi="Times New Roman"/>
                <w:b/>
                <w:sz w:val="24"/>
                <w:szCs w:val="24"/>
              </w:rPr>
              <w:t>Павлоцька</w:t>
            </w:r>
            <w:proofErr w:type="spellEnd"/>
            <w:r w:rsidRPr="00A36369">
              <w:rPr>
                <w:rFonts w:ascii="Times New Roman" w:hAnsi="Times New Roman"/>
                <w:b/>
                <w:sz w:val="24"/>
                <w:szCs w:val="24"/>
              </w:rPr>
              <w:t xml:space="preserve"> Л.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69">
              <w:rPr>
                <w:rFonts w:ascii="Times New Roman" w:hAnsi="Times New Roman"/>
                <w:sz w:val="24"/>
                <w:szCs w:val="24"/>
              </w:rPr>
              <w:t>Нутриціологія</w:t>
            </w:r>
            <w:proofErr w:type="spellEnd"/>
            <w:r w:rsidRPr="00A363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05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56A5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4056A5">
              <w:rPr>
                <w:rFonts w:ascii="Times New Roman" w:hAnsi="Times New Roman"/>
                <w:sz w:val="24"/>
                <w:szCs w:val="24"/>
              </w:rPr>
              <w:t xml:space="preserve">. / Л. Ф. </w:t>
            </w:r>
            <w:proofErr w:type="spellStart"/>
            <w:r w:rsidRPr="004056A5">
              <w:rPr>
                <w:rFonts w:ascii="Times New Roman" w:hAnsi="Times New Roman"/>
                <w:sz w:val="24"/>
                <w:szCs w:val="24"/>
              </w:rPr>
              <w:t>Павлоцька</w:t>
            </w:r>
            <w:proofErr w:type="spellEnd"/>
            <w:r w:rsidRPr="004056A5">
              <w:rPr>
                <w:rFonts w:ascii="Times New Roman" w:hAnsi="Times New Roman"/>
                <w:sz w:val="24"/>
                <w:szCs w:val="24"/>
              </w:rPr>
              <w:t xml:space="preserve"> [та ін.]. – Харків : Світ Книг, 2019. – 527 с. : іл. – </w:t>
            </w:r>
            <w:r w:rsidRPr="004056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056A5">
              <w:rPr>
                <w:rFonts w:ascii="Times New Roman" w:hAnsi="Times New Roman"/>
                <w:b/>
                <w:sz w:val="24"/>
                <w:szCs w:val="24"/>
              </w:rPr>
              <w:t xml:space="preserve"> 978-966-2678-61-1.</w:t>
            </w: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4056A5" w:rsidRDefault="00F97D5E" w:rsidP="00171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4056A5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Pr="004056A5" w:rsidRDefault="00F97D5E" w:rsidP="00171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  <w:p w:rsidR="00F97D5E" w:rsidRPr="00FB533B" w:rsidRDefault="00F97D5E" w:rsidP="0017129F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shd w:val="clear" w:color="auto" w:fill="auto"/>
          </w:tcPr>
          <w:p w:rsidR="00F97D5E" w:rsidRPr="00FB533B" w:rsidRDefault="00F97D5E" w:rsidP="0017129F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D5E" w:rsidRPr="00FB533B" w:rsidTr="0017129F">
        <w:tc>
          <w:tcPr>
            <w:tcW w:w="2660" w:type="dxa"/>
            <w:shd w:val="clear" w:color="auto" w:fill="auto"/>
          </w:tcPr>
          <w:p w:rsidR="00F97D5E" w:rsidRPr="003D66D8" w:rsidRDefault="00F97D5E" w:rsidP="0017129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48765" cy="2183130"/>
                  <wp:effectExtent l="19050" t="0" r="0" b="0"/>
                  <wp:docPr id="15" name="Рисунок 4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21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shd w:val="clear" w:color="auto" w:fill="auto"/>
          </w:tcPr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6D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5E" w:rsidRDefault="00F97D5E" w:rsidP="0017129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Ботаніка: навчально-методичний посібник для студентів вищих медичних, фармацевтичних навчальних закладів спеціальності 226 «Фармація»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7D5E" w:rsidRDefault="00F97D5E" w:rsidP="00171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Медицина, 2017. – 49 с. : іл. − </w:t>
            </w:r>
            <w:r w:rsidRPr="003D66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6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-617-505-471-0.</w:t>
            </w:r>
          </w:p>
          <w:p w:rsidR="00F97D5E" w:rsidRDefault="00F97D5E" w:rsidP="00171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97D5E" w:rsidRDefault="00F97D5E" w:rsidP="00171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97D5E" w:rsidRPr="003D66D8" w:rsidRDefault="00F97D5E" w:rsidP="00171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66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3D66D8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</w:tbl>
    <w:p w:rsidR="00F97D5E" w:rsidRPr="00F71DC5" w:rsidRDefault="00F97D5E" w:rsidP="00F97D5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 xml:space="preserve">.: 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</w:p>
    <w:p w:rsidR="00F97D5E" w:rsidRPr="00F71DC5" w:rsidRDefault="00F97D5E" w:rsidP="00F97D5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F97D5E" w:rsidRPr="0099457F" w:rsidRDefault="00F97D5E" w:rsidP="00F97D5E">
      <w:pPr>
        <w:jc w:val="center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F97D5E" w:rsidRDefault="00F97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44F6" w:rsidRDefault="00CB44F6" w:rsidP="00CB4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CB44F6" w:rsidRDefault="00CB44F6" w:rsidP="00CB4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F75569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9E1DAB" w:rsidRPr="007928C9" w:rsidRDefault="007928C9" w:rsidP="007928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спеціальності </w:t>
      </w:r>
      <w:r w:rsidR="00B4246A">
        <w:rPr>
          <w:rFonts w:ascii="Times New Roman" w:hAnsi="Times New Roman"/>
          <w:b/>
          <w:sz w:val="24"/>
          <w:szCs w:val="24"/>
        </w:rPr>
        <w:t>«</w:t>
      </w:r>
      <w:r w:rsidR="00B4246A" w:rsidRPr="00B4246A">
        <w:rPr>
          <w:rFonts w:ascii="Times New Roman" w:hAnsi="Times New Roman"/>
          <w:b/>
          <w:sz w:val="24"/>
          <w:szCs w:val="24"/>
        </w:rPr>
        <w:t>Фармація, промислова фармація»</w:t>
      </w:r>
    </w:p>
    <w:p w:rsidR="00E469BA" w:rsidRPr="007928C9" w:rsidRDefault="00E469BA" w:rsidP="007928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39645"/>
                  <wp:effectExtent l="0" t="0" r="0" b="8255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0C497E" w:rsidRPr="002D6D40" w:rsidRDefault="000C497E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497E" w:rsidRPr="002D6D40" w:rsidRDefault="000C497E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Державна фармакопея України</w:t>
            </w:r>
            <w:r w:rsidR="007D4A64" w:rsidRPr="002D6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3 т.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 xml:space="preserve"> Т. 3.</w:t>
            </w:r>
            <w:r w:rsidR="007D4A64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proofErr w:type="gram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7928C9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spellEnd"/>
            <w:proofErr w:type="gram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здоров’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я України. – 2-</w:t>
            </w:r>
            <w:r w:rsidR="004F2E1D" w:rsidRPr="002D6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е вид. – Харків :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під</w:t>
            </w:r>
            <w:r w:rsidR="005F7A02" w:rsidRPr="002D6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риємство «Укр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фармакоп</w:t>
            </w:r>
            <w:proofErr w:type="spellEnd"/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центр якості лікар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засобів», 2014. – 732 с.</w:t>
            </w:r>
          </w:p>
          <w:p w:rsidR="000C497E" w:rsidRPr="002D6D40" w:rsidRDefault="000C497E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97E" w:rsidRPr="002D6D40" w:rsidRDefault="000C497E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Том 3 включає розділи з монографіями </w:t>
            </w:r>
            <w:r w:rsidR="00F75569" w:rsidRPr="002D6D4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вакцини та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імуносироватки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для застосування людиною, а також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імуносироватки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для застосування у ветеринарії; лікарську рослинну сировину</w:t>
            </w:r>
            <w:r w:rsidR="00D27E3A" w:rsidRPr="002D6D40">
              <w:rPr>
                <w:rFonts w:ascii="Times New Roman" w:hAnsi="Times New Roman"/>
                <w:sz w:val="24"/>
                <w:szCs w:val="24"/>
              </w:rPr>
              <w:t xml:space="preserve"> та лікарські рослинні засоби; гомеопатичні лікарські засоби; готові лікарські засоби; лікарські засоби</w:t>
            </w:r>
            <w:r w:rsidR="00DC3BF0">
              <w:rPr>
                <w:rFonts w:ascii="Times New Roman" w:hAnsi="Times New Roman"/>
                <w:sz w:val="24"/>
                <w:szCs w:val="24"/>
              </w:rPr>
              <w:t>,</w:t>
            </w:r>
            <w:r w:rsidR="00D27E3A" w:rsidRPr="002D6D40">
              <w:rPr>
                <w:rFonts w:ascii="Times New Roman" w:hAnsi="Times New Roman"/>
                <w:sz w:val="24"/>
                <w:szCs w:val="24"/>
              </w:rPr>
              <w:t xml:space="preserve"> виготовлені в аптеках.</w:t>
            </w:r>
          </w:p>
          <w:p w:rsidR="00001C76" w:rsidRPr="002D6D40" w:rsidRDefault="00001C76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62505"/>
                  <wp:effectExtent l="0" t="0" r="0" b="4445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E3A" w:rsidRPr="002D6D40" w:rsidRDefault="00D27E3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E3A" w:rsidRPr="002D6D40" w:rsidRDefault="00D27E3A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Державна фармакопея України</w:t>
            </w:r>
            <w:r w:rsidR="007D4A64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. Доповнення 1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/ М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-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во охорони здоров’я України. – 2-</w:t>
            </w:r>
            <w:r w:rsidR="004F2E1D" w:rsidRPr="002D6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е вид.</w:t>
            </w:r>
            <w:r w:rsidR="007D4A64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– Харків :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підприємство «Укр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фармакоп</w:t>
            </w:r>
            <w:proofErr w:type="spellEnd"/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центр якості лікар</w:t>
            </w:r>
            <w:r w:rsidR="007928C9"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засобів», 2016. – 360 с.</w:t>
            </w:r>
          </w:p>
          <w:p w:rsidR="00D27E3A" w:rsidRPr="002D6D40" w:rsidRDefault="00D27E3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E3A" w:rsidRPr="002D6D40" w:rsidRDefault="00D27E3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E3A" w:rsidRPr="002D6D40" w:rsidRDefault="00F5493C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>У</w:t>
            </w:r>
            <w:r w:rsidR="00276BE1" w:rsidRPr="002D6D40">
              <w:rPr>
                <w:rFonts w:ascii="Times New Roman" w:hAnsi="Times New Roman"/>
                <w:sz w:val="24"/>
                <w:szCs w:val="24"/>
              </w:rPr>
              <w:t xml:space="preserve"> доповненні 1 розглядаються </w:t>
            </w:r>
            <w:r w:rsidR="00CC0913" w:rsidRPr="002D6D40">
              <w:rPr>
                <w:rFonts w:ascii="Times New Roman" w:hAnsi="Times New Roman"/>
                <w:sz w:val="24"/>
                <w:szCs w:val="24"/>
              </w:rPr>
              <w:t>загальні вимоги до лікарських засобів, фармакопейні статті, а також методики контролю якості лікарських засобів.</w:t>
            </w:r>
          </w:p>
          <w:p w:rsidR="00001C76" w:rsidRPr="002D6D40" w:rsidRDefault="00001C76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72030"/>
                  <wp:effectExtent l="0" t="0" r="0" b="0"/>
                  <wp:docPr id="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71F" w:rsidRPr="002D6D40" w:rsidRDefault="0013071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Стасевич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0C3DAF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Технологічне обладнання фармацевтичної та біотехнологіч</w:t>
            </w:r>
            <w:r w:rsidR="005F7A02" w:rsidRPr="002D6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ої промисловості : підручник / М. В.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[та ін.].</w:t>
            </w:r>
            <w:r w:rsidR="005F7A02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– Львів : Новий Світ-2000, 2019. – 410 с.</w:t>
            </w:r>
          </w:p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4F2" w:rsidRPr="002D6D40" w:rsidRDefault="0013071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Підручник містить </w:t>
            </w:r>
            <w:r w:rsidR="005D71DF" w:rsidRPr="002D6D40">
              <w:rPr>
                <w:rFonts w:ascii="Times New Roman" w:hAnsi="Times New Roman"/>
                <w:sz w:val="24"/>
                <w:szCs w:val="24"/>
              </w:rPr>
              <w:t>дані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щодо обладнання вітчизняного та закордонного виробництва, яке застосовується на фармацевтичних і біотехнологічних підприємствах, зокрема матеріалів для виготовлення апаратів, технологічних особливостей та конструктивних елементів апаратури.</w:t>
            </w:r>
          </w:p>
          <w:p w:rsidR="00001C76" w:rsidRPr="002D6D40" w:rsidRDefault="00001C76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50" w:rsidRPr="002D6D40" w:rsidTr="002D6D40">
        <w:tc>
          <w:tcPr>
            <w:tcW w:w="2741" w:type="dxa"/>
            <w:shd w:val="clear" w:color="auto" w:fill="auto"/>
          </w:tcPr>
          <w:p w:rsidR="004F5350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1133475"/>
                  <wp:effectExtent l="0" t="0" r="0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F5350" w:rsidRPr="002D6D40" w:rsidRDefault="004F5350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Бойчук І.</w:t>
            </w:r>
            <w:r w:rsidR="000C3DAF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C3DAF" w:rsidRPr="002D6D40">
              <w:rPr>
                <w:rFonts w:ascii="Times New Roman" w:hAnsi="Times New Roman"/>
                <w:sz w:val="24"/>
                <w:szCs w:val="24"/>
              </w:rPr>
              <w:t xml:space="preserve"> Аналітична хімія : </w:t>
            </w:r>
            <w:proofErr w:type="spellStart"/>
            <w:r w:rsidR="000C3DAF" w:rsidRPr="002D6D40">
              <w:rPr>
                <w:rFonts w:ascii="Times New Roman" w:hAnsi="Times New Roman"/>
                <w:sz w:val="24"/>
                <w:szCs w:val="24"/>
              </w:rPr>
              <w:t>навч.-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="00DA42C2" w:rsidRPr="002D6D40">
              <w:rPr>
                <w:rFonts w:ascii="Times New Roman" w:hAnsi="Times New Roman"/>
                <w:sz w:val="24"/>
                <w:szCs w:val="24"/>
              </w:rPr>
              <w:br/>
            </w:r>
            <w:r w:rsidRPr="002D6D40">
              <w:rPr>
                <w:rFonts w:ascii="Times New Roman" w:hAnsi="Times New Roman"/>
                <w:sz w:val="24"/>
                <w:szCs w:val="24"/>
              </w:rPr>
              <w:t>І. Д. Бойчук [та ін.]. – Київ : Медицина, 2017. – 88 с.</w:t>
            </w:r>
          </w:p>
          <w:p w:rsidR="000C3DAF" w:rsidRPr="002D6D40" w:rsidRDefault="000C3DA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350" w:rsidRPr="002D6D40" w:rsidRDefault="004F5350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Видання містить правила роботи у лабораторії хімії, теоретичні основи якісного і кількісного аналізу, інструкції </w:t>
            </w:r>
            <w:r w:rsidR="000C3DAF" w:rsidRPr="002D6D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виконання та схеми оформлення результатів лабораторних дослідів та аналізів.</w:t>
            </w:r>
          </w:p>
          <w:p w:rsidR="00001C76" w:rsidRPr="002D6D40" w:rsidRDefault="00001C76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F5350" w:rsidRPr="002D6D40" w:rsidTr="002D6D40">
        <w:tc>
          <w:tcPr>
            <w:tcW w:w="2741" w:type="dxa"/>
            <w:shd w:val="clear" w:color="auto" w:fill="auto"/>
          </w:tcPr>
          <w:p w:rsidR="004F5350" w:rsidRPr="002D6D40" w:rsidRDefault="004F5350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F5350" w:rsidRPr="002D6D40" w:rsidRDefault="004F5350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62505"/>
                  <wp:effectExtent l="0" t="0" r="0" b="4445"/>
                  <wp:docPr id="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C3DAF" w:rsidRPr="002D6D40" w:rsidRDefault="0013071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Стасевич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0C3DAF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Нормативно-правове регулювання діяльності біотехнологі</w:t>
            </w:r>
            <w:r w:rsidR="000C3DAF" w:rsidRPr="002D6D40">
              <w:rPr>
                <w:rFonts w:ascii="Times New Roman" w:hAnsi="Times New Roman"/>
                <w:sz w:val="24"/>
                <w:szCs w:val="24"/>
              </w:rPr>
              <w:t>чн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их і фармацевтичних підприємств : підручник / М. В.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[та ін.].– Львів : Новий Світ-2000, 2019. – 288 с.</w:t>
            </w:r>
          </w:p>
          <w:p w:rsidR="00C914F2" w:rsidRPr="002D6D40" w:rsidRDefault="0013071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У підручнику розглянуті нормативно-технічні документи, що регламентують порядок організації виробництва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біофармацевтичної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продукції, проведення стандартизації, сертифікації продукції, атестації та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валідації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виробництва, вимоги до організації систем управління якістю на підприємствах, правила оформлення виробничої документації та ведення технологічного процесу.</w:t>
            </w:r>
          </w:p>
          <w:p w:rsidR="00001C76" w:rsidRPr="002D6D40" w:rsidRDefault="00001C76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16 прим.</w:t>
            </w: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914F2" w:rsidRPr="002D6D40" w:rsidRDefault="00C914F2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F2" w:rsidRPr="002D6D40" w:rsidTr="002D6D40">
        <w:tc>
          <w:tcPr>
            <w:tcW w:w="2741" w:type="dxa"/>
            <w:shd w:val="clear" w:color="auto" w:fill="auto"/>
          </w:tcPr>
          <w:p w:rsidR="00C914F2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30120"/>
                  <wp:effectExtent l="0" t="0" r="0" b="0"/>
                  <wp:docPr id="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1F3" w:rsidRPr="002D6D40" w:rsidRDefault="00B701F3" w:rsidP="002D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1F" w:rsidRPr="002D6D40" w:rsidRDefault="0013071F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Гладух Є.</w:t>
            </w:r>
            <w:r w:rsidR="000C3DAF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Промислова технологія лікарських засобів : підручник 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Є. В. Гладух 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– Харків :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НФаУ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>; Новий Світ-2000, 2018. – 526 с.</w:t>
            </w:r>
          </w:p>
          <w:p w:rsidR="0013071F" w:rsidRPr="002D6D40" w:rsidRDefault="0013071F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4F2" w:rsidRPr="002D6D40" w:rsidRDefault="00DA42C2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>У</w:t>
            </w:r>
            <w:r w:rsidR="0013071F" w:rsidRPr="002D6D40">
              <w:rPr>
                <w:rFonts w:ascii="Times New Roman" w:hAnsi="Times New Roman"/>
                <w:sz w:val="24"/>
                <w:szCs w:val="24"/>
              </w:rPr>
              <w:t xml:space="preserve"> підручнику описано останні досягнення фармацевтичної науки і практики, описано сучасні технології й обладнання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,</w:t>
            </w:r>
            <w:r w:rsidR="0013071F" w:rsidRPr="002D6D40">
              <w:rPr>
                <w:rFonts w:ascii="Times New Roman" w:hAnsi="Times New Roman"/>
                <w:sz w:val="24"/>
                <w:szCs w:val="24"/>
              </w:rPr>
              <w:t xml:space="preserve"> призначене для проведення технологічних процесів у промислових умовах. Розглянуто перспективні напрямки вдосконалення промислової технології лікарських засобів.</w:t>
            </w:r>
          </w:p>
          <w:p w:rsidR="00B701F3" w:rsidRPr="002D6D40" w:rsidRDefault="00B701F3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CB44F6" w:rsidRPr="002D6D40" w:rsidTr="002D6D40">
        <w:tc>
          <w:tcPr>
            <w:tcW w:w="2741" w:type="dxa"/>
            <w:shd w:val="clear" w:color="auto" w:fill="auto"/>
          </w:tcPr>
          <w:p w:rsidR="00CB44F6" w:rsidRPr="002D6D40" w:rsidRDefault="00CB44F6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B44F6" w:rsidRPr="002D6D40" w:rsidRDefault="00CB44F6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AB" w:rsidRPr="002D6D40" w:rsidTr="002D6D40">
        <w:tc>
          <w:tcPr>
            <w:tcW w:w="2741" w:type="dxa"/>
            <w:shd w:val="clear" w:color="auto" w:fill="auto"/>
          </w:tcPr>
          <w:p w:rsidR="00F539AB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58060"/>
                  <wp:effectExtent l="0" t="0" r="0" b="8890"/>
                  <wp:docPr id="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539AB" w:rsidRPr="002D6D40" w:rsidRDefault="00F539AB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Kalibabchuk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V.</w:t>
            </w:r>
            <w:r w:rsidR="00F60403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 </w:t>
            </w:r>
            <w:r w:rsidR="00DC3BF0" w:rsidRPr="002D6D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hemistry: textbook / </w:t>
            </w:r>
            <w:r w:rsidR="00DA42C2" w:rsidRPr="002D6D40">
              <w:rPr>
                <w:rFonts w:ascii="Times New Roman" w:hAnsi="Times New Roman"/>
                <w:sz w:val="24"/>
                <w:szCs w:val="24"/>
              </w:rPr>
              <w:br/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O.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Kalibabchuk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[et al.]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Kyiv: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AUS Medicine Publishing, 2018. – 224 p.</w:t>
            </w: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39AB" w:rsidRPr="002D6D40" w:rsidRDefault="00F539AB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The textbook describes the properties of solutions and their role in biochemical processes.</w:t>
            </w: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9AB" w:rsidRPr="002D6D40" w:rsidRDefault="00F539AB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описує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розчинів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у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біохімічних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процесах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701F3" w:rsidRPr="002D6D40" w:rsidRDefault="00B701F3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539AB" w:rsidRPr="002D6D40" w:rsidTr="002D6D40">
        <w:tc>
          <w:tcPr>
            <w:tcW w:w="2741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AB" w:rsidRPr="002D6D40" w:rsidTr="002D6D40">
        <w:tc>
          <w:tcPr>
            <w:tcW w:w="2741" w:type="dxa"/>
            <w:shd w:val="clear" w:color="auto" w:fill="auto"/>
          </w:tcPr>
          <w:p w:rsidR="00F539AB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4645" cy="2267585"/>
                  <wp:effectExtent l="0" t="0" r="0" b="0"/>
                  <wp:docPr id="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9AB" w:rsidRPr="002D6D40" w:rsidRDefault="00F539AB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Ніженковська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І.</w:t>
            </w:r>
            <w:r w:rsidR="00F60403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Токсикологічна хімія : підручник /</w:t>
            </w:r>
            <w:r w:rsidR="00DA42C2" w:rsidRPr="002D6D40">
              <w:rPr>
                <w:rFonts w:ascii="Times New Roman" w:hAnsi="Times New Roman"/>
                <w:sz w:val="24"/>
                <w:szCs w:val="24"/>
              </w:rPr>
              <w:br/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І. В.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Ніженковська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Вельчинська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>, М. М. Кучер. – Київ : Медицина, 2012. – 372 с.</w:t>
            </w: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9AB" w:rsidRPr="002D6D40" w:rsidRDefault="00F539AB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У підручнику розглянуто закономірності токсичної динаміки й токсичної кінетики в організмі, особливості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біотрансформації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отруйних речовин органічного й неорганічного походження.</w:t>
            </w:r>
          </w:p>
          <w:p w:rsidR="00043565" w:rsidRPr="002D6D40" w:rsidRDefault="0004356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043565" w:rsidRPr="002D6D40" w:rsidTr="002D6D40">
        <w:tc>
          <w:tcPr>
            <w:tcW w:w="2741" w:type="dxa"/>
            <w:shd w:val="clear" w:color="auto" w:fill="auto"/>
          </w:tcPr>
          <w:p w:rsidR="00043565" w:rsidRPr="002D6D40" w:rsidRDefault="00043565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43565" w:rsidRPr="002D6D40" w:rsidRDefault="00043565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AB" w:rsidRPr="002D6D40" w:rsidTr="002D6D40">
        <w:tc>
          <w:tcPr>
            <w:tcW w:w="2741" w:type="dxa"/>
            <w:shd w:val="clear" w:color="auto" w:fill="auto"/>
          </w:tcPr>
          <w:p w:rsidR="00F539AB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86000"/>
                  <wp:effectExtent l="0" t="0" r="0" b="0"/>
                  <wp:docPr id="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Клінічна імунологія та алергологія = </w:t>
            </w:r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Clinical</w:t>
            </w:r>
            <w:r w:rsidR="00F60403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Immunology</w:t>
            </w:r>
            <w:r w:rsidR="00F60403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="00F60403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Allergology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BazhoraYu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.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[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.]. – 2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60403" w:rsidRPr="002D6D4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End"/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Vinnytsia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F60403" w:rsidRPr="002D6D40">
              <w:rPr>
                <w:rFonts w:ascii="Times New Roman" w:hAnsi="Times New Roman"/>
                <w:sz w:val="24"/>
                <w:szCs w:val="24"/>
                <w:lang w:val="en-US"/>
              </w:rPr>
              <w:t>Nova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Knyha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, 2017. – 272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textbook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describes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>basic themes</w:t>
            </w:r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immunology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allergology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accordance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model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approved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Ministry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He</w:t>
            </w:r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alth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each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diagnosis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peculiarities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pathogenesis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presented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contains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lot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illus</w:t>
            </w:r>
            <w:r w:rsidR="005F7A02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trations</w:t>
            </w:r>
            <w:proofErr w:type="spellEnd"/>
            <w:r w:rsidR="005F7A02"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, </w:t>
            </w:r>
            <w:r w:rsidR="005D71DF" w:rsidRPr="002D6D40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questions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facilitate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assimilation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  <w:r w:rsidRPr="002D6D40">
              <w:rPr>
                <w:rStyle w:val="tlid-translation"/>
                <w:rFonts w:ascii="Times New Roman" w:hAnsi="Times New Roman"/>
                <w:sz w:val="24"/>
                <w:szCs w:val="24"/>
              </w:rPr>
              <w:t>.</w:t>
            </w:r>
          </w:p>
          <w:p w:rsidR="00F539AB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>У підручнику викладені основні теми з клінічної імунології та алергології відповідно до типової програми, затвердженої МОЗ України.</w:t>
            </w:r>
            <w:r w:rsidR="005F7A02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B66" w:rsidRPr="002D6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кожній темі викладаються питання діагностики, особливості патогенезу та перебігу захворювань. Для полегшення засвоєння матеріалу книг</w:t>
            </w:r>
            <w:r w:rsidR="005F7A02" w:rsidRPr="002D6D40">
              <w:rPr>
                <w:rFonts w:ascii="Times New Roman" w:hAnsi="Times New Roman"/>
                <w:sz w:val="24"/>
                <w:szCs w:val="24"/>
              </w:rPr>
              <w:t>а містить багато ілюстрацій, те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стові завдання і контрольні питання.</w:t>
            </w:r>
          </w:p>
          <w:p w:rsidR="00043565" w:rsidRPr="002D6D40" w:rsidRDefault="0004356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F539AB" w:rsidRPr="002D6D40" w:rsidTr="002D6D40">
        <w:tc>
          <w:tcPr>
            <w:tcW w:w="2741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539AB" w:rsidRPr="002D6D40" w:rsidRDefault="00F539AB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84" w:rsidRPr="002D6D40" w:rsidTr="002D6D40">
        <w:tc>
          <w:tcPr>
            <w:tcW w:w="2741" w:type="dxa"/>
            <w:shd w:val="clear" w:color="auto" w:fill="auto"/>
          </w:tcPr>
          <w:p w:rsidR="00B93B84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341880"/>
                  <wp:effectExtent l="0" t="0" r="0" b="1270"/>
                  <wp:docPr id="1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3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Аврахова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Л. Я.</w:t>
            </w:r>
            <w:r w:rsidR="00043565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Pharmacists</w:t>
            </w:r>
            <w:r w:rsidR="005D71DF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= Англійська мова для фармацевтів: підручник / Л. Я.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Аврахова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[та ін.]. – 2-ге вид., випр. – Київ : Медицина, 2017. – 368 с.</w:t>
            </w:r>
          </w:p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>Матеріал підручника забезпечує професійну спрямованість студентів</w:t>
            </w:r>
            <w:r w:rsidR="00723B66" w:rsidRPr="002D6D40">
              <w:rPr>
                <w:rFonts w:ascii="Times New Roman" w:hAnsi="Times New Roman"/>
                <w:sz w:val="24"/>
                <w:szCs w:val="24"/>
              </w:rPr>
              <w:t>-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фармацевтів у навчанні англійськ</w:t>
            </w:r>
            <w:r w:rsidR="00723B66" w:rsidRPr="002D6D40">
              <w:rPr>
                <w:rFonts w:ascii="Times New Roman" w:hAnsi="Times New Roman"/>
                <w:sz w:val="24"/>
                <w:szCs w:val="24"/>
              </w:rPr>
              <w:t>ій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мов</w:t>
            </w:r>
            <w:r w:rsidR="00723B66" w:rsidRPr="002D6D40">
              <w:rPr>
                <w:rFonts w:ascii="Times New Roman" w:hAnsi="Times New Roman"/>
                <w:sz w:val="24"/>
                <w:szCs w:val="24"/>
              </w:rPr>
              <w:t>і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, готує їх до іншомовної комунікації, читання спеціальної літератури, складання анотацій та написання рефератів.</w:t>
            </w:r>
          </w:p>
          <w:p w:rsidR="00043565" w:rsidRPr="002D6D40" w:rsidRDefault="0004356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B93B84" w:rsidRPr="002D6D40" w:rsidTr="002D6D40">
        <w:tc>
          <w:tcPr>
            <w:tcW w:w="2741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84" w:rsidRPr="002D6D40" w:rsidTr="002D6D40">
        <w:tc>
          <w:tcPr>
            <w:tcW w:w="2741" w:type="dxa"/>
            <w:shd w:val="clear" w:color="auto" w:fill="auto"/>
          </w:tcPr>
          <w:p w:rsidR="00B93B84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4645" cy="2304415"/>
                  <wp:effectExtent l="0" t="0" r="0" b="635"/>
                  <wp:docPr id="1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3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Smolska</w:t>
            </w:r>
            <w:proofErr w:type="spellEnd"/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L.</w:t>
            </w:r>
            <w:r w:rsidR="005D71DF" w:rsidRPr="002D6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Yu.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Latin Language and Medical Terminology </w:t>
            </w:r>
            <w:proofErr w:type="gram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Basics :</w:t>
            </w:r>
            <w:proofErr w:type="gramEnd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textbook / L. Yu.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Smolska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[et al.]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. – 4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Kyiv : AUS Medicine Publishing, 2018. – 400 p.</w:t>
            </w:r>
          </w:p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  <w:lang w:val="en-US"/>
              </w:rPr>
              <w:t>The textbook is aimed to teach students the principles of the Latin grammar and medical terminology in accordance with the demands of the European Credit Transfer System.</w:t>
            </w:r>
          </w:p>
          <w:p w:rsidR="00F60403" w:rsidRPr="002D6D40" w:rsidRDefault="00F60403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B84" w:rsidRPr="002D6D40" w:rsidRDefault="00B93B84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спрямован</w:t>
            </w:r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те, </w:t>
            </w:r>
            <w:proofErr w:type="spellStart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>щоб</w:t>
            </w:r>
            <w:proofErr w:type="spellEnd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>навчити</w:t>
            </w:r>
            <w:proofErr w:type="spellEnd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3BF0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="00AB789A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основам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латинської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граматики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медичної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термінології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Європейської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переказу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кредитів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43565" w:rsidRPr="002D6D40" w:rsidRDefault="0004356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B93B84" w:rsidRPr="002D6D40" w:rsidTr="002D6D40">
        <w:tc>
          <w:tcPr>
            <w:tcW w:w="2741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B93B84" w:rsidRPr="002D6D40" w:rsidRDefault="00B93B84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BA" w:rsidRPr="002D6D40" w:rsidTr="002D6D40">
        <w:tc>
          <w:tcPr>
            <w:tcW w:w="2741" w:type="dxa"/>
            <w:shd w:val="clear" w:color="auto" w:fill="auto"/>
          </w:tcPr>
          <w:p w:rsidR="003372BA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53615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2BA" w:rsidRPr="002D6D40" w:rsidRDefault="003372BA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Дроздова А. О.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Основні тренди розвитку фармацевтичного ринку України по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фармакотерапевтичних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групах : монографія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А. О. Дроздова 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]. –</w:t>
            </w:r>
            <w:r w:rsidR="005D71DF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08B1" w:rsidRPr="002D6D40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gramStart"/>
            <w:r w:rsidR="001308B1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Освіта України, 2015. – 130 с.</w:t>
            </w:r>
          </w:p>
          <w:p w:rsidR="003372BA" w:rsidRPr="002D6D40" w:rsidRDefault="003372B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2BA" w:rsidRPr="002D6D40" w:rsidRDefault="003372BA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Монографія містить маркетингові дослідження сучасного фармацевтичного ринку України по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фармако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t>-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терапевтичн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групах за АТС класифікацією. </w:t>
            </w:r>
            <w:r w:rsidR="005D71DF" w:rsidRPr="002D6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озрахована </w:t>
            </w:r>
            <w:r w:rsidR="009663AD" w:rsidRPr="002D6D4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>провізорів, лікарів, фармацевтів, інтернів, студентів та слухачів післядипломного навчання з усіх медичних і фармацевтичних спеціальностей.</w:t>
            </w:r>
          </w:p>
          <w:p w:rsidR="00F33005" w:rsidRPr="002D6D40" w:rsidRDefault="00F3300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372BA" w:rsidRPr="002D6D40" w:rsidTr="002D6D40">
        <w:tc>
          <w:tcPr>
            <w:tcW w:w="2741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BA" w:rsidRPr="002D6D40" w:rsidTr="002D6D40">
        <w:tc>
          <w:tcPr>
            <w:tcW w:w="2741" w:type="dxa"/>
            <w:shd w:val="clear" w:color="auto" w:fill="auto"/>
          </w:tcPr>
          <w:p w:rsidR="003372BA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1107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60403" w:rsidRPr="002D6D40" w:rsidRDefault="003372BA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Дроздова А. О.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Фармацевтичні аспекти вагінальних лікарських засобів антимікробної 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t>дії</w:t>
            </w:r>
            <w:r w:rsidR="00DC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t>: монографія</w:t>
            </w:r>
            <w:r w:rsidR="00DC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DC2" w:rsidRPr="002D6D40">
              <w:rPr>
                <w:rFonts w:ascii="Times New Roman" w:hAnsi="Times New Roman"/>
                <w:sz w:val="24"/>
                <w:szCs w:val="24"/>
              </w:rPr>
              <w:t>/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br/>
            </w:r>
            <w:r w:rsidR="007C4DC2" w:rsidRPr="002D6D40">
              <w:rPr>
                <w:rFonts w:ascii="Times New Roman" w:hAnsi="Times New Roman"/>
                <w:sz w:val="24"/>
                <w:szCs w:val="24"/>
              </w:rPr>
              <w:t>А. О. Дроздова [та ін.]. – Київ</w:t>
            </w:r>
            <w:r w:rsidR="00F60403" w:rsidRPr="002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DC2" w:rsidRPr="002D6D40">
              <w:rPr>
                <w:rFonts w:ascii="Times New Roman" w:hAnsi="Times New Roman"/>
                <w:sz w:val="24"/>
                <w:szCs w:val="24"/>
              </w:rPr>
              <w:t xml:space="preserve">: Освіта України, 2015. – 160 с. </w:t>
            </w:r>
          </w:p>
          <w:p w:rsidR="007C4DC2" w:rsidRPr="002D6D40" w:rsidRDefault="007C4DC2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D40">
              <w:rPr>
                <w:rFonts w:ascii="Times New Roman" w:hAnsi="Times New Roman"/>
                <w:sz w:val="24"/>
                <w:szCs w:val="24"/>
              </w:rPr>
              <w:t xml:space="preserve">Монографія присвячена науково-практичному 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t>об</w:t>
            </w:r>
            <w:r w:rsidR="00081C98" w:rsidRPr="002D6D40">
              <w:rPr>
                <w:rFonts w:ascii="Times New Roman" w:hAnsi="Times New Roman"/>
                <w:sz w:val="24"/>
                <w:szCs w:val="24"/>
              </w:rPr>
              <w:t>ґ</w:t>
            </w:r>
            <w:r w:rsidR="00DA54A0" w:rsidRPr="002D6D40">
              <w:rPr>
                <w:rFonts w:ascii="Times New Roman" w:hAnsi="Times New Roman"/>
                <w:sz w:val="24"/>
                <w:szCs w:val="24"/>
              </w:rPr>
              <w:t>рунтуванню</w:t>
            </w:r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технології та складу вагінальних м’яких лікарських форм антимікробної та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сперміцидної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дії. Вивчено вплив фармацевтичних факторів на </w:t>
            </w:r>
            <w:proofErr w:type="spellStart"/>
            <w:r w:rsidRPr="002D6D40">
              <w:rPr>
                <w:rFonts w:ascii="Times New Roman" w:hAnsi="Times New Roman"/>
                <w:sz w:val="24"/>
                <w:szCs w:val="24"/>
              </w:rPr>
              <w:t>фармако-технологічні</w:t>
            </w:r>
            <w:proofErr w:type="spellEnd"/>
            <w:r w:rsidRPr="002D6D40">
              <w:rPr>
                <w:rFonts w:ascii="Times New Roman" w:hAnsi="Times New Roman"/>
                <w:sz w:val="24"/>
                <w:szCs w:val="24"/>
              </w:rPr>
              <w:t xml:space="preserve"> та фізико-хімічні властивості лікарських засобів. Встановлена залежність антимікробної активності від способу введення активних фармацевтичних інгредієнтів до складу лікарського засобу.</w:t>
            </w:r>
          </w:p>
          <w:p w:rsidR="00F33005" w:rsidRPr="002D6D40" w:rsidRDefault="00F3300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372BA" w:rsidRPr="002D6D40" w:rsidTr="002D6D40">
        <w:tc>
          <w:tcPr>
            <w:tcW w:w="2741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BA" w:rsidRPr="002D6D40" w:rsidTr="002D6D40">
        <w:tc>
          <w:tcPr>
            <w:tcW w:w="2741" w:type="dxa"/>
            <w:shd w:val="clear" w:color="auto" w:fill="auto"/>
          </w:tcPr>
          <w:p w:rsidR="003372BA" w:rsidRPr="002D6D40" w:rsidRDefault="00094681" w:rsidP="002D6D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25040"/>
                  <wp:effectExtent l="0" t="0" r="0" b="381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372BA" w:rsidRPr="002D6D40" w:rsidRDefault="003372BA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3EE" w:rsidRPr="002D6D40" w:rsidRDefault="00D453EE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3EE" w:rsidRPr="002D6D40" w:rsidRDefault="00BA3E50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Гладышев В. </w:t>
            </w:r>
            <w:r w:rsidR="00D453EE" w:rsidRPr="002D6D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</w:t>
            </w:r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Фармацевтическая технология </w:t>
            </w:r>
            <w:proofErr w:type="spellStart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экстемпоральных</w:t>
            </w:r>
            <w:proofErr w:type="spellEnd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</w:t>
            </w:r>
            <w:r w:rsidR="00081C98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твенных средств</w:t>
            </w:r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: учебник /</w:t>
            </w:r>
            <w:r w:rsidR="00081C98" w:rsidRPr="002D6D4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В. В. Гладышев. – Днепропетровск</w:t>
            </w:r>
            <w:proofErr w:type="gramStart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ЧМП Экономика, 2014. – 374 </w:t>
            </w:r>
            <w:proofErr w:type="gramStart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D453EE" w:rsidRPr="002D6D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453EE" w:rsidRPr="002D6D40" w:rsidRDefault="00D453EE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53EE" w:rsidRPr="002D6D40" w:rsidRDefault="00D453EE" w:rsidP="002D6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53EE" w:rsidRPr="002D6D40" w:rsidRDefault="00D453EE" w:rsidP="002D6D40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40">
              <w:rPr>
                <w:rFonts w:ascii="Times New Roman" w:hAnsi="Times New Roman"/>
                <w:sz w:val="24"/>
                <w:szCs w:val="24"/>
                <w:lang w:val="ru-RU"/>
              </w:rPr>
              <w:t>В учебнике приведены теоретические основы и технология изготовления основных лекарственных форм в условиях аптеки с учетом достижений фармацевтической науки и практики.</w:t>
            </w:r>
          </w:p>
          <w:p w:rsidR="00F33005" w:rsidRPr="002D6D40" w:rsidRDefault="00F33005" w:rsidP="002D6D4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6D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</w:tc>
      </w:tr>
    </w:tbl>
    <w:p w:rsidR="004F5350" w:rsidRPr="00F33005" w:rsidRDefault="004F5350" w:rsidP="007928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28C9" w:rsidRDefault="004F5350" w:rsidP="007928C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7928C9">
        <w:rPr>
          <w:rFonts w:ascii="Times New Roman" w:hAnsi="Times New Roman"/>
          <w:i/>
          <w:sz w:val="24"/>
          <w:szCs w:val="24"/>
        </w:rPr>
        <w:t>: А</w:t>
      </w:r>
      <w:r w:rsidR="00F6040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О.</w:t>
      </w:r>
      <w:r w:rsidR="007928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928C9">
        <w:rPr>
          <w:rFonts w:ascii="Times New Roman" w:hAnsi="Times New Roman"/>
          <w:i/>
          <w:sz w:val="24"/>
          <w:szCs w:val="24"/>
        </w:rPr>
        <w:t>Каушан</w:t>
      </w:r>
      <w:proofErr w:type="spellEnd"/>
      <w:r w:rsidR="007928C9">
        <w:rPr>
          <w:rFonts w:ascii="Times New Roman" w:hAnsi="Times New Roman"/>
          <w:i/>
          <w:sz w:val="24"/>
          <w:szCs w:val="24"/>
        </w:rPr>
        <w:t>,</w:t>
      </w:r>
    </w:p>
    <w:p w:rsidR="002D6D40" w:rsidRDefault="007928C9" w:rsidP="004F535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F60403">
        <w:rPr>
          <w:rFonts w:ascii="Times New Roman" w:hAnsi="Times New Roman"/>
          <w:i/>
          <w:sz w:val="24"/>
          <w:szCs w:val="24"/>
        </w:rPr>
        <w:t>.</w:t>
      </w:r>
    </w:p>
    <w:p w:rsidR="004F5350" w:rsidRDefault="004F5350" w:rsidP="007928C9">
      <w:pPr>
        <w:jc w:val="right"/>
      </w:pPr>
      <w:r>
        <w:rPr>
          <w:rFonts w:ascii="Times New Roman" w:hAnsi="Times New Roman"/>
          <w:i/>
          <w:sz w:val="24"/>
          <w:szCs w:val="24"/>
        </w:rPr>
        <w:t>Ред.: Н.</w:t>
      </w:r>
      <w:r w:rsidR="00F604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П. Колесникова</w:t>
      </w:r>
    </w:p>
    <w:sectPr w:rsidR="004F5350" w:rsidSect="00003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E4236E"/>
    <w:rsid w:val="00001C76"/>
    <w:rsid w:val="00002145"/>
    <w:rsid w:val="000035FD"/>
    <w:rsid w:val="00043565"/>
    <w:rsid w:val="00072DCC"/>
    <w:rsid w:val="00081C98"/>
    <w:rsid w:val="00094681"/>
    <w:rsid w:val="000B2AAD"/>
    <w:rsid w:val="000C3DAF"/>
    <w:rsid w:val="000C497E"/>
    <w:rsid w:val="000F4AA2"/>
    <w:rsid w:val="00103A4B"/>
    <w:rsid w:val="0013071F"/>
    <w:rsid w:val="001308B1"/>
    <w:rsid w:val="00153436"/>
    <w:rsid w:val="00193E0B"/>
    <w:rsid w:val="00195C32"/>
    <w:rsid w:val="001B0D89"/>
    <w:rsid w:val="001C4B5B"/>
    <w:rsid w:val="00227BCB"/>
    <w:rsid w:val="002349D1"/>
    <w:rsid w:val="00276BE1"/>
    <w:rsid w:val="00276F6F"/>
    <w:rsid w:val="002A5BF9"/>
    <w:rsid w:val="002D0A34"/>
    <w:rsid w:val="002D6D40"/>
    <w:rsid w:val="002E30EF"/>
    <w:rsid w:val="002E785F"/>
    <w:rsid w:val="003047CE"/>
    <w:rsid w:val="003372BA"/>
    <w:rsid w:val="00383254"/>
    <w:rsid w:val="0038486A"/>
    <w:rsid w:val="003A2ACD"/>
    <w:rsid w:val="003B533F"/>
    <w:rsid w:val="003E06AB"/>
    <w:rsid w:val="003F53C7"/>
    <w:rsid w:val="00407D4F"/>
    <w:rsid w:val="0042434E"/>
    <w:rsid w:val="004342A4"/>
    <w:rsid w:val="004405A7"/>
    <w:rsid w:val="004B1E7E"/>
    <w:rsid w:val="004D25F8"/>
    <w:rsid w:val="004E12F0"/>
    <w:rsid w:val="004F2E1D"/>
    <w:rsid w:val="004F5350"/>
    <w:rsid w:val="005020AF"/>
    <w:rsid w:val="00506C7F"/>
    <w:rsid w:val="00514996"/>
    <w:rsid w:val="00584BD5"/>
    <w:rsid w:val="005944E2"/>
    <w:rsid w:val="005D71DF"/>
    <w:rsid w:val="005F7A02"/>
    <w:rsid w:val="00604449"/>
    <w:rsid w:val="00623DC8"/>
    <w:rsid w:val="00672CFB"/>
    <w:rsid w:val="006B3547"/>
    <w:rsid w:val="006F479E"/>
    <w:rsid w:val="006F5523"/>
    <w:rsid w:val="00707914"/>
    <w:rsid w:val="00713EEE"/>
    <w:rsid w:val="00716DE1"/>
    <w:rsid w:val="00723B66"/>
    <w:rsid w:val="00736316"/>
    <w:rsid w:val="00746B13"/>
    <w:rsid w:val="00770ECE"/>
    <w:rsid w:val="00774F98"/>
    <w:rsid w:val="007928C9"/>
    <w:rsid w:val="007A1AE2"/>
    <w:rsid w:val="007A6215"/>
    <w:rsid w:val="007B498F"/>
    <w:rsid w:val="007B75E0"/>
    <w:rsid w:val="007C029A"/>
    <w:rsid w:val="007C19D5"/>
    <w:rsid w:val="007C4DC2"/>
    <w:rsid w:val="007D4A64"/>
    <w:rsid w:val="00811053"/>
    <w:rsid w:val="0081170A"/>
    <w:rsid w:val="00815592"/>
    <w:rsid w:val="00817D15"/>
    <w:rsid w:val="00821F57"/>
    <w:rsid w:val="00870BB5"/>
    <w:rsid w:val="0089534D"/>
    <w:rsid w:val="008A66B8"/>
    <w:rsid w:val="009076F2"/>
    <w:rsid w:val="009226B1"/>
    <w:rsid w:val="00950D69"/>
    <w:rsid w:val="009663AD"/>
    <w:rsid w:val="009A01C7"/>
    <w:rsid w:val="009A110F"/>
    <w:rsid w:val="009D764A"/>
    <w:rsid w:val="009E1DAB"/>
    <w:rsid w:val="00A00F6F"/>
    <w:rsid w:val="00A026FE"/>
    <w:rsid w:val="00A303A6"/>
    <w:rsid w:val="00A317DB"/>
    <w:rsid w:val="00A51B28"/>
    <w:rsid w:val="00A9051A"/>
    <w:rsid w:val="00A91DEB"/>
    <w:rsid w:val="00A945AE"/>
    <w:rsid w:val="00AB4D7B"/>
    <w:rsid w:val="00AB789A"/>
    <w:rsid w:val="00AD467B"/>
    <w:rsid w:val="00AE3F7C"/>
    <w:rsid w:val="00B20115"/>
    <w:rsid w:val="00B224C4"/>
    <w:rsid w:val="00B4246A"/>
    <w:rsid w:val="00B64731"/>
    <w:rsid w:val="00B701F3"/>
    <w:rsid w:val="00B93B84"/>
    <w:rsid w:val="00BA3E50"/>
    <w:rsid w:val="00BA72E1"/>
    <w:rsid w:val="00C3515A"/>
    <w:rsid w:val="00C406FB"/>
    <w:rsid w:val="00C66581"/>
    <w:rsid w:val="00C87DB0"/>
    <w:rsid w:val="00C914F2"/>
    <w:rsid w:val="00CA19DD"/>
    <w:rsid w:val="00CB44F6"/>
    <w:rsid w:val="00CB7C69"/>
    <w:rsid w:val="00CC0913"/>
    <w:rsid w:val="00CF2C2D"/>
    <w:rsid w:val="00D27E3A"/>
    <w:rsid w:val="00D30FB2"/>
    <w:rsid w:val="00D31401"/>
    <w:rsid w:val="00D453EE"/>
    <w:rsid w:val="00D92086"/>
    <w:rsid w:val="00DA42C2"/>
    <w:rsid w:val="00DA54A0"/>
    <w:rsid w:val="00DC3BF0"/>
    <w:rsid w:val="00DD004D"/>
    <w:rsid w:val="00DF2433"/>
    <w:rsid w:val="00E05F8C"/>
    <w:rsid w:val="00E13A76"/>
    <w:rsid w:val="00E202BF"/>
    <w:rsid w:val="00E4236E"/>
    <w:rsid w:val="00E469BA"/>
    <w:rsid w:val="00E57E46"/>
    <w:rsid w:val="00E830EA"/>
    <w:rsid w:val="00E91CA2"/>
    <w:rsid w:val="00EC415E"/>
    <w:rsid w:val="00EE3059"/>
    <w:rsid w:val="00F00350"/>
    <w:rsid w:val="00F009F2"/>
    <w:rsid w:val="00F33005"/>
    <w:rsid w:val="00F533FD"/>
    <w:rsid w:val="00F539AB"/>
    <w:rsid w:val="00F5493C"/>
    <w:rsid w:val="00F60403"/>
    <w:rsid w:val="00F75569"/>
    <w:rsid w:val="00F85386"/>
    <w:rsid w:val="00F9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444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B2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444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B2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67F4-1EE7-4AE9-8984-0F11E36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3</cp:revision>
  <dcterms:created xsi:type="dcterms:W3CDTF">2019-05-03T06:24:00Z</dcterms:created>
  <dcterms:modified xsi:type="dcterms:W3CDTF">2020-03-19T09:04:00Z</dcterms:modified>
</cp:coreProperties>
</file>