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CF57B" w14:textId="77777777" w:rsidR="00A457A1" w:rsidRDefault="00A457A1" w:rsidP="00A457A1">
      <w:pPr>
        <w:widowControl w:val="0"/>
        <w:spacing w:line="360" w:lineRule="auto"/>
        <w:jc w:val="center"/>
        <w:rPr>
          <w:b/>
          <w:caps/>
          <w:sz w:val="28"/>
          <w:szCs w:val="28"/>
          <w:lang w:val="uk-UA"/>
        </w:rPr>
      </w:pPr>
      <w:r>
        <w:rPr>
          <w:b/>
          <w:caps/>
          <w:sz w:val="28"/>
          <w:szCs w:val="28"/>
          <w:lang w:val="uk-UA"/>
        </w:rPr>
        <w:t>Анотація</w:t>
      </w:r>
    </w:p>
    <w:p w14:paraId="37420E17" w14:textId="77777777" w:rsidR="00A457A1" w:rsidRDefault="00A457A1" w:rsidP="00A457A1">
      <w:pPr>
        <w:widowControl w:val="0"/>
        <w:spacing w:line="360" w:lineRule="auto"/>
        <w:jc w:val="center"/>
        <w:rPr>
          <w:bCs/>
          <w:sz w:val="28"/>
          <w:szCs w:val="28"/>
          <w:lang w:val="uk-UA"/>
        </w:rPr>
      </w:pPr>
      <w:r w:rsidRPr="00A457A1">
        <w:rPr>
          <w:bCs/>
          <w:sz w:val="28"/>
          <w:szCs w:val="28"/>
          <w:lang w:val="uk-UA"/>
        </w:rPr>
        <w:t xml:space="preserve">на наукову роботу: </w:t>
      </w:r>
    </w:p>
    <w:p w14:paraId="6587BA9C" w14:textId="706A40BA" w:rsidR="00A457A1" w:rsidRPr="00A457A1" w:rsidRDefault="00A457A1" w:rsidP="00A457A1">
      <w:pPr>
        <w:widowControl w:val="0"/>
        <w:spacing w:line="360" w:lineRule="auto"/>
        <w:rPr>
          <w:bCs/>
          <w:sz w:val="28"/>
          <w:szCs w:val="28"/>
          <w:lang w:val="uk-UA"/>
        </w:rPr>
      </w:pPr>
      <w:r w:rsidRPr="00A457A1">
        <w:rPr>
          <w:bCs/>
          <w:sz w:val="28"/>
          <w:szCs w:val="28"/>
          <w:lang w:val="uk-UA"/>
        </w:rPr>
        <w:t>«</w:t>
      </w:r>
      <w:r w:rsidRPr="00A457A1">
        <w:rPr>
          <w:bCs/>
          <w:caps/>
          <w:sz w:val="28"/>
          <w:szCs w:val="28"/>
          <w:lang w:val="uk-UA"/>
        </w:rPr>
        <w:t>ФЕНОМЕН МОБІЛЬНОСТІ РОБОЧОЇ СИЛИ РИНКУ ПРАЦІ УКРАЇНИ</w:t>
      </w:r>
      <w:r w:rsidRPr="00A457A1">
        <w:rPr>
          <w:bCs/>
          <w:sz w:val="28"/>
          <w:szCs w:val="28"/>
          <w:lang w:val="uk-UA"/>
        </w:rPr>
        <w:t>»</w:t>
      </w:r>
    </w:p>
    <w:p w14:paraId="734702DE" w14:textId="5B1E0B34" w:rsidR="00A457A1" w:rsidRPr="00A457A1" w:rsidRDefault="00A457A1" w:rsidP="00A457A1">
      <w:pPr>
        <w:widowControl w:val="0"/>
        <w:spacing w:line="360" w:lineRule="auto"/>
        <w:jc w:val="center"/>
        <w:rPr>
          <w:bCs/>
          <w:i/>
          <w:sz w:val="28"/>
          <w:szCs w:val="28"/>
          <w:lang w:val="uk-UA"/>
        </w:rPr>
      </w:pPr>
      <w:r w:rsidRPr="00A457A1">
        <w:rPr>
          <w:bCs/>
          <w:sz w:val="28"/>
          <w:szCs w:val="28"/>
          <w:lang w:val="uk-UA"/>
        </w:rPr>
        <w:t xml:space="preserve">Шифр: </w:t>
      </w:r>
      <w:r>
        <w:rPr>
          <w:bCs/>
          <w:sz w:val="28"/>
          <w:szCs w:val="28"/>
          <w:lang w:val="uk-UA"/>
        </w:rPr>
        <w:t>«</w:t>
      </w:r>
      <w:r w:rsidRPr="00A457A1">
        <w:rPr>
          <w:bCs/>
          <w:sz w:val="28"/>
          <w:szCs w:val="28"/>
          <w:lang w:val="uk-UA"/>
        </w:rPr>
        <w:t>Феномен мобільності</w:t>
      </w:r>
      <w:r>
        <w:rPr>
          <w:bCs/>
          <w:sz w:val="28"/>
          <w:szCs w:val="28"/>
          <w:lang w:val="uk-UA"/>
        </w:rPr>
        <w:t>»</w:t>
      </w:r>
    </w:p>
    <w:p w14:paraId="2FBC4AA0" w14:textId="77777777" w:rsidR="00A457A1" w:rsidRDefault="00A457A1" w:rsidP="00A457A1">
      <w:pPr>
        <w:widowControl w:val="0"/>
        <w:spacing w:line="360" w:lineRule="auto"/>
        <w:jc w:val="center"/>
        <w:rPr>
          <w:b/>
          <w:sz w:val="28"/>
          <w:szCs w:val="28"/>
          <w:lang w:val="uk-UA"/>
        </w:rPr>
      </w:pPr>
    </w:p>
    <w:p w14:paraId="50D8E1BD" w14:textId="6F6B51F7" w:rsidR="00A457A1" w:rsidRDefault="00A457A1" w:rsidP="00A457A1">
      <w:pPr>
        <w:widowControl w:val="0"/>
        <w:shd w:val="clear" w:color="auto" w:fill="FFFFFF"/>
        <w:spacing w:line="360" w:lineRule="auto"/>
        <w:ind w:firstLine="709"/>
        <w:jc w:val="both"/>
        <w:rPr>
          <w:sz w:val="28"/>
          <w:szCs w:val="28"/>
          <w:lang w:val="uk-UA"/>
        </w:rPr>
      </w:pPr>
      <w:r>
        <w:rPr>
          <w:b/>
          <w:i/>
          <w:sz w:val="28"/>
          <w:szCs w:val="28"/>
          <w:lang w:val="uk-UA"/>
        </w:rPr>
        <w:t>Актуальність.</w:t>
      </w:r>
      <w:r>
        <w:rPr>
          <w:sz w:val="28"/>
          <w:szCs w:val="28"/>
          <w:lang w:val="uk-UA"/>
        </w:rPr>
        <w:t xml:space="preserve"> Структурно деформована, диспропорційна, позбавлена власних стабільних рушіїв розвитку вітчизняна економіка не здатна належним чином реагувати як на кризові коливання, так і на звичні стимулятори економічного розвитку. Війна, в наслідок якої руйнуються підприємства, транспортна і соціальна інфраструктура, логістика, відбуваються масова міграція населення зумовлює нові ризики у соціально-економічній сфері та посилює наголоси на сформованих проблемах. В період воєнної агресії та у часи повоєнного відновлення пріоритетним завданням залишається</w:t>
      </w:r>
      <w:r>
        <w:rPr>
          <w:sz w:val="28"/>
          <w:szCs w:val="28"/>
          <w:lang w:val="uk-UA"/>
        </w:rPr>
        <w:t> </w:t>
      </w:r>
      <w:r>
        <w:rPr>
          <w:sz w:val="28"/>
          <w:szCs w:val="28"/>
          <w:lang w:val="uk-UA" w:eastAsia="en-US"/>
        </w:rPr>
        <w:t>–</w:t>
      </w:r>
      <w:r>
        <w:rPr>
          <w:sz w:val="28"/>
          <w:szCs w:val="28"/>
          <w:lang w:val="uk-UA"/>
        </w:rPr>
        <w:t xml:space="preserve"> максимально раціональне використання робочої сили. Для підвищення зайнятості у воєнний час і період економічного відновлення вкрай важливим залишається питання щодо забезпечення мобільності робочої сили. </w:t>
      </w:r>
    </w:p>
    <w:p w14:paraId="2B58E23C" w14:textId="77777777" w:rsidR="00A457A1" w:rsidRDefault="00A457A1" w:rsidP="00A457A1">
      <w:pPr>
        <w:widowControl w:val="0"/>
        <w:spacing w:line="360" w:lineRule="auto"/>
        <w:ind w:firstLine="709"/>
        <w:jc w:val="both"/>
        <w:rPr>
          <w:sz w:val="28"/>
          <w:szCs w:val="28"/>
          <w:lang w:val="uk-UA"/>
        </w:rPr>
      </w:pPr>
      <w:r>
        <w:rPr>
          <w:sz w:val="28"/>
          <w:szCs w:val="28"/>
          <w:lang w:val="uk-UA"/>
        </w:rPr>
        <w:t xml:space="preserve">Мобільність проявляється у зміні становища людини на ринку праці, здатністю адаптуватися до мінливості внутрішнього та зовнішнього середовища ринку праці. Все більш масовими стають нестандартні форми зайнятості, такі як віддалена і неповна зайнятість, робота без укладення постійних трудових контрактів, аутсорсинг і </w:t>
      </w:r>
      <w:proofErr w:type="spellStart"/>
      <w:r>
        <w:rPr>
          <w:sz w:val="28"/>
          <w:szCs w:val="28"/>
          <w:lang w:val="uk-UA"/>
        </w:rPr>
        <w:t>аутстафінг</w:t>
      </w:r>
      <w:proofErr w:type="spellEnd"/>
      <w:r>
        <w:rPr>
          <w:sz w:val="28"/>
          <w:szCs w:val="28"/>
          <w:lang w:val="uk-UA"/>
        </w:rPr>
        <w:t xml:space="preserve"> персоналу. При цьому дуже багато спеціальностей та професій сьогодні знаходяться у зоні ризику через швидку </w:t>
      </w:r>
      <w:proofErr w:type="spellStart"/>
      <w:r>
        <w:rPr>
          <w:sz w:val="28"/>
          <w:szCs w:val="28"/>
          <w:lang w:val="uk-UA"/>
        </w:rPr>
        <w:t>цифровізацію</w:t>
      </w:r>
      <w:proofErr w:type="spellEnd"/>
      <w:r>
        <w:rPr>
          <w:sz w:val="28"/>
          <w:szCs w:val="28"/>
          <w:lang w:val="uk-UA"/>
        </w:rPr>
        <w:t xml:space="preserve"> та розвиток штучного інтелекту. Тому важливим є розуміння необхідності обґрунтування напряму розвитку ринку праці, що дозволить досягти економічного зростання і соціальної стабільності в країні, у цьому контексті особливої актуальності набувають питання зміни поглядів на працю, посилення гнучкості її використання шляхом поєднання сучасних форм зайнятості таким чином, щоб структура зайнятості відповідала найважливішим потребам сучасності та була дієздатною в умовах </w:t>
      </w:r>
      <w:proofErr w:type="spellStart"/>
      <w:r>
        <w:rPr>
          <w:sz w:val="28"/>
          <w:szCs w:val="28"/>
          <w:lang w:val="uk-UA"/>
        </w:rPr>
        <w:t>цифровізації</w:t>
      </w:r>
      <w:proofErr w:type="spellEnd"/>
      <w:r>
        <w:rPr>
          <w:sz w:val="28"/>
          <w:szCs w:val="28"/>
          <w:lang w:val="uk-UA"/>
        </w:rPr>
        <w:t xml:space="preserve">, глобалізації та економічної нестабільності. Таким чином, саме </w:t>
      </w:r>
      <w:r>
        <w:rPr>
          <w:sz w:val="28"/>
          <w:szCs w:val="28"/>
          <w:lang w:val="uk-UA"/>
        </w:rPr>
        <w:lastRenderedPageBreak/>
        <w:t>мобільність визначає адаптаційний потенціал економіки, а саме характеризує здатність швидко та ефективно пристосовуватися до будь яких змін.</w:t>
      </w:r>
    </w:p>
    <w:p w14:paraId="0BEBD1B8" w14:textId="77777777" w:rsidR="00A457A1" w:rsidRPr="00A457A1" w:rsidRDefault="00A457A1" w:rsidP="00A457A1">
      <w:pPr>
        <w:widowControl w:val="0"/>
        <w:spacing w:line="360" w:lineRule="auto"/>
        <w:ind w:firstLine="709"/>
        <w:jc w:val="both"/>
        <w:rPr>
          <w:spacing w:val="-2"/>
          <w:sz w:val="28"/>
          <w:szCs w:val="28"/>
          <w:lang w:val="uk-UA"/>
        </w:rPr>
      </w:pPr>
      <w:r w:rsidRPr="00A457A1">
        <w:rPr>
          <w:i/>
          <w:spacing w:val="-2"/>
          <w:sz w:val="28"/>
          <w:szCs w:val="28"/>
          <w:lang w:val="uk-UA"/>
        </w:rPr>
        <w:t>Актуальність дослідження обумовлена декількома аспектами.</w:t>
      </w:r>
      <w:r w:rsidRPr="00A457A1">
        <w:rPr>
          <w:spacing w:val="-2"/>
          <w:sz w:val="28"/>
          <w:szCs w:val="28"/>
          <w:lang w:val="uk-UA"/>
        </w:rPr>
        <w:t xml:space="preserve"> Насамперед, феномен мобільності робочої сили є об’єктивно існуючим явищем будь якого ринку праці, вона відображає рух робочої сили як товару, а динаміка формує кон’юнктуру ринку. Зміни мобільності призводять до змін ринку праці. Другим аспектом є залежність мобільності робочої сили від багатьох факторів, які посилюють чи сповільнюють її. Виявлення цих факторів та оцінка їхнього впливу є необхідною умовою для регулювання ринку праці: усунення негативних і/або активізації позитивних тенденцій його розвитку. </w:t>
      </w:r>
    </w:p>
    <w:p w14:paraId="70D942FA" w14:textId="77777777" w:rsidR="00A457A1" w:rsidRDefault="00A457A1" w:rsidP="00A457A1">
      <w:pPr>
        <w:pStyle w:val="a9"/>
        <w:widowControl w:val="0"/>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Мета</w:t>
      </w:r>
      <w:r>
        <w:rPr>
          <w:rFonts w:ascii="Times New Roman" w:hAnsi="Times New Roman"/>
          <w:sz w:val="28"/>
          <w:szCs w:val="28"/>
          <w:lang w:val="uk-UA"/>
        </w:rPr>
        <w:t xml:space="preserve"> роботи полягає у розробці практичних рекомендацій щодо регулювання ринку праці, базуючись на узагальненні факторів, які визначають напрями та інтенсивність мобільності й трудової активності робочої сили. </w:t>
      </w:r>
    </w:p>
    <w:p w14:paraId="59EB676E" w14:textId="77777777" w:rsidR="00A457A1" w:rsidRDefault="00A457A1" w:rsidP="00A457A1">
      <w:pPr>
        <w:widowControl w:val="0"/>
        <w:spacing w:line="360" w:lineRule="auto"/>
        <w:ind w:firstLine="709"/>
        <w:jc w:val="both"/>
        <w:rPr>
          <w:sz w:val="28"/>
          <w:szCs w:val="28"/>
          <w:lang w:val="uk-UA" w:eastAsia="en-US"/>
        </w:rPr>
      </w:pPr>
      <w:r>
        <w:rPr>
          <w:b/>
          <w:i/>
          <w:sz w:val="28"/>
          <w:szCs w:val="28"/>
          <w:lang w:val="uk-UA" w:eastAsia="en-US"/>
        </w:rPr>
        <w:t>Методи дослідження</w:t>
      </w:r>
      <w:r>
        <w:rPr>
          <w:sz w:val="28"/>
          <w:szCs w:val="28"/>
          <w:lang w:val="uk-UA" w:eastAsia="en-US"/>
        </w:rPr>
        <w:t xml:space="preserve"> – системний аналіз, економіко-математичне моделювання, кореляційний аналіз, факторний і порівняльний аналіз, структурно-функціональний аналіз, метод статистичних угрупувань, аналіз ієрархій, експертні оцінки та інші методи.</w:t>
      </w:r>
    </w:p>
    <w:p w14:paraId="1C4BF784" w14:textId="6B778D3B" w:rsidR="001D3642" w:rsidRPr="00A457A1" w:rsidRDefault="00A457A1" w:rsidP="00A457A1">
      <w:pPr>
        <w:pStyle w:val="a9"/>
        <w:widowControl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Динаміка ринку праці визначається постійним рухом робочої сили, що у свою чергу визначає його кон’юнктуру. Мобільність робочої сили є складним явищем, що проявляється у різних формах та оцінюється за допомогою різноманітних індикаторів. Мобільність визначається зміною статусів економічної активності, зміною професії, територіальною приналежності робочого місця, рухом соціального становища у суспільстві. Ефективність функціонування ринку праці та використання робочої сили залежить не лише від напрямів та інтенсивності її потоків, а й від того, наскільки працівник використовує свої якості й уміння у трудовій діяльності, прямо залежить успішний розвиток економіки. Сучасний стан ринку праці потребує пошуку шляхів нарощування трудової активності населення та мобільності робочої сили при використанні певних форм зайнятості в умовах нестабільності соціально-економічної сфери в Україні.</w:t>
      </w:r>
      <w:bookmarkStart w:id="0" w:name="_GoBack"/>
      <w:bookmarkEnd w:id="0"/>
    </w:p>
    <w:sectPr w:rsidR="001D3642" w:rsidRPr="00A45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EE"/>
    <w:rsid w:val="001D3642"/>
    <w:rsid w:val="006260EE"/>
    <w:rsid w:val="00981947"/>
    <w:rsid w:val="00A457A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62E8"/>
  <w15:chartTrackingRefBased/>
  <w15:docId w15:val="{CE9E2211-0D65-4229-8159-4474A18D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7A1"/>
    <w:rPr>
      <w:sz w:val="24"/>
      <w:szCs w:val="24"/>
      <w:lang w:val="ru-RU" w:eastAsia="ru-RU"/>
    </w:rPr>
  </w:style>
  <w:style w:type="paragraph" w:styleId="7">
    <w:name w:val="heading 7"/>
    <w:basedOn w:val="a"/>
    <w:next w:val="a"/>
    <w:link w:val="70"/>
    <w:qFormat/>
    <w:rsid w:val="0098194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81947"/>
    <w:rPr>
      <w:sz w:val="24"/>
      <w:szCs w:val="24"/>
      <w:lang w:val="ru-RU" w:eastAsia="ru-RU"/>
    </w:rPr>
  </w:style>
  <w:style w:type="paragraph" w:styleId="a3">
    <w:name w:val="Title"/>
    <w:basedOn w:val="a"/>
    <w:link w:val="a4"/>
    <w:qFormat/>
    <w:rsid w:val="00981947"/>
    <w:pPr>
      <w:jc w:val="center"/>
    </w:pPr>
    <w:rPr>
      <w:sz w:val="28"/>
      <w:lang w:val="uk-UA"/>
    </w:rPr>
  </w:style>
  <w:style w:type="character" w:customStyle="1" w:styleId="a4">
    <w:name w:val="Заголовок Знак"/>
    <w:basedOn w:val="a0"/>
    <w:link w:val="a3"/>
    <w:rsid w:val="00981947"/>
    <w:rPr>
      <w:sz w:val="28"/>
      <w:szCs w:val="24"/>
      <w:lang w:val="uk-UA" w:eastAsia="ru-RU"/>
    </w:rPr>
  </w:style>
  <w:style w:type="character" w:styleId="a5">
    <w:name w:val="Strong"/>
    <w:qFormat/>
    <w:rsid w:val="00981947"/>
    <w:rPr>
      <w:rFonts w:cs="Times New Roman"/>
      <w:b/>
      <w:bCs/>
    </w:rPr>
  </w:style>
  <w:style w:type="character" w:styleId="a6">
    <w:name w:val="Emphasis"/>
    <w:qFormat/>
    <w:rsid w:val="00981947"/>
    <w:rPr>
      <w:i/>
      <w:iCs/>
    </w:rPr>
  </w:style>
  <w:style w:type="paragraph" w:styleId="a7">
    <w:name w:val="No Spacing"/>
    <w:qFormat/>
    <w:rsid w:val="00981947"/>
    <w:rPr>
      <w:sz w:val="24"/>
      <w:szCs w:val="24"/>
      <w:lang w:val="ru-RU" w:eastAsia="ru-RU"/>
    </w:rPr>
  </w:style>
  <w:style w:type="character" w:customStyle="1" w:styleId="a8">
    <w:name w:val="Обычный (Интернет) Знак"/>
    <w:aliases w:val="Обычный (Web)1 Знак,Обычный (Web) Знак,Обычный (веб) Знак1 Знак,Обычный (веб) Знак Знак1 Знак,Обычный (веб) Знак Знак Знак Знак1,Обычный (веб) Знак Знак Знак Знак Знак,Знак Знак Знак Знак Знак Знак Знак Знак,Обычный (веб)1 Знак"/>
    <w:link w:val="a9"/>
    <w:locked/>
    <w:rsid w:val="00A457A1"/>
    <w:rPr>
      <w:rFonts w:ascii="Verdana" w:hAnsi="Verdana"/>
      <w:color w:val="000000"/>
      <w:lang w:val="en-US"/>
    </w:rPr>
  </w:style>
  <w:style w:type="paragraph" w:styleId="a9">
    <w:name w:val="Normal (Web)"/>
    <w:aliases w:val="Обычный (Web)1,Обычный (Web),Обычный (веб) Знак1,Обычный (веб) Знак Знак1,Обычный (веб) Знак Знак Знак,Обычный (веб) Знак Знак Знак Знак,Знак Знак Знак Знак Знак Знак Знак,Знак Знак Знак Знак,Обычный (веб)1,Обычный (веб)11"/>
    <w:basedOn w:val="a"/>
    <w:link w:val="a8"/>
    <w:unhideWhenUsed/>
    <w:rsid w:val="00A457A1"/>
    <w:rPr>
      <w:rFonts w:ascii="Verdana" w:hAnsi="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3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2023-09-05T03:11:00Z</dcterms:created>
  <dcterms:modified xsi:type="dcterms:W3CDTF">2023-09-05T03:17:00Z</dcterms:modified>
</cp:coreProperties>
</file>