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9F" w:rsidRPr="00A876FD" w:rsidRDefault="00E76A9F" w:rsidP="00E76A9F">
      <w:pPr>
        <w:spacing w:after="0" w:line="360" w:lineRule="auto"/>
        <w:ind w:left="708"/>
        <w:jc w:val="center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РЕФЕРАТ</w:t>
      </w:r>
    </w:p>
    <w:p w:rsidR="00E76A9F" w:rsidRDefault="00E76A9F" w:rsidP="00E76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даними ВООЗ , опіки посідають третє місце серед інших травм . Опікове ушкодження призводить як до місцевих , так і до загальних порушень в системах обміну речовин , природньої резистентності , імунологічної активності . Велике значення для контролю стану хворого з опіками під час перебігу опікової хвороби є дослідження показників активн</w:t>
      </w:r>
      <w:r>
        <w:rPr>
          <w:rFonts w:ascii="Times New Roman" w:hAnsi="Times New Roman"/>
          <w:sz w:val="28"/>
          <w:szCs w:val="28"/>
          <w:lang w:val="uk-UA"/>
        </w:rPr>
        <w:t>ості нейтрофільних гранулоцитів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76A9F" w:rsidRDefault="00E76A9F" w:rsidP="00E76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Термічні опіки від 10% і більше викликають опікову хворобу , основним патогенезом якої є ендогенна інтоксикація і розвиток системної запальної реакції . Токсини різного походження ( аутотоксини, бактеріальні токсини ) та медіатори запалення мають значний вплив на кількісний , якісний і функціональний с</w:t>
      </w:r>
      <w:r>
        <w:rPr>
          <w:rFonts w:ascii="Times New Roman" w:hAnsi="Times New Roman"/>
          <w:sz w:val="28"/>
          <w:szCs w:val="28"/>
          <w:lang w:val="uk-UA"/>
        </w:rPr>
        <w:t>клад нейтрофільних гранулоцитів</w:t>
      </w:r>
      <w:r>
        <w:rPr>
          <w:rFonts w:ascii="Times New Roman" w:hAnsi="Times New Roman"/>
          <w:sz w:val="28"/>
          <w:szCs w:val="28"/>
          <w:lang w:val="uk-UA"/>
        </w:rPr>
        <w:t xml:space="preserve">. Це явище дає змогу контролювати та прогнозувати перебіг опікової хвороби у хворих з опіками. Дослідження цих показників викликає інтерес до детальнішого вивчення , так як дає змогу розробити нові методи діагностики, прогнозування перебігу </w:t>
      </w:r>
      <w:r>
        <w:rPr>
          <w:rFonts w:ascii="Times New Roman" w:hAnsi="Times New Roman"/>
          <w:sz w:val="28"/>
          <w:szCs w:val="28"/>
          <w:lang w:val="uk-UA"/>
        </w:rPr>
        <w:t>та лікування опікової хвороби.</w:t>
      </w:r>
    </w:p>
    <w:p w:rsidR="00E76A9F" w:rsidRDefault="00E76A9F" w:rsidP="00E76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роботі проведені дослідження , які фіксують зміни показників активності нейтрофільних гранулоцитів у різні періоди перебігу опікової хвороби , що є діагностичними критеріями для визначення загального стану , імунологічної активності організму хворого з опіками, прогнозування перебігу і виходу опікової хвороби . </w:t>
      </w:r>
    </w:p>
    <w:p w:rsidR="00E76A9F" w:rsidRDefault="00E76A9F" w:rsidP="00E76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Дипломна робота написана на 71 сторі</w:t>
      </w:r>
      <w:r>
        <w:rPr>
          <w:rFonts w:ascii="Times New Roman" w:hAnsi="Times New Roman"/>
          <w:sz w:val="28"/>
          <w:szCs w:val="28"/>
          <w:lang w:val="uk-UA"/>
        </w:rPr>
        <w:t>нку , містить 5 таблиць та 51 літературне джерело.</w:t>
      </w:r>
    </w:p>
    <w:p w:rsidR="00E76A9F" w:rsidRDefault="00E76A9F" w:rsidP="00E76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A5D" w:rsidRPr="00E76A9F" w:rsidRDefault="00B31A5D">
      <w:pPr>
        <w:rPr>
          <w:lang w:val="uk-UA"/>
        </w:rPr>
      </w:pPr>
    </w:p>
    <w:sectPr w:rsidR="00B31A5D" w:rsidRPr="00E7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DB"/>
    <w:rsid w:val="00887637"/>
    <w:rsid w:val="009754DB"/>
    <w:rsid w:val="00B31A5D"/>
    <w:rsid w:val="00D66769"/>
    <w:rsid w:val="00E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0877-F5A7-40AD-B847-4ED6E65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2020-10-23T07:57:00Z</dcterms:created>
  <dcterms:modified xsi:type="dcterms:W3CDTF">2020-10-23T07:58:00Z</dcterms:modified>
</cp:coreProperties>
</file>